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Beaver Lake Industrial Park Inc. v. Kelowna (City), [2006] B.C.J. No. 654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S020610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M.P.L.R. (4th)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716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Beaver Lake Industrial Park Inc., plaintiff, and City of Kelowna, Callahan Construction Company Ltd. and 411471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Contracts — Consensus, lack of — Misrepresentation — Negligent misrepresentation — Action against municipality to recover latecomer fees dismissed — City did not guarantee latecomer fees payable to plaintiff for construction of water supply system for its lands — Plaintiff had to build system regardless of latecomer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Powers of municipality — Particular subject matter — Water supply and sewers — Action against municipality to recover latecomer fees dismissed — City did not guarantee latecomer fees payable to plaintiff for construction of water supply system for its lands — Plaintiff had to build system regardless of latecomer issues — No fiduciary or statutory duty on part of City to impose latecomer fees on adjacent landowners who did not use system.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Contracts — Action against municipality to recover latecomer fees dismissed — City did not guarantee latecomer fees payable to plaintiff for construction of water supply system for its lands — Plaintiff had to build system regardless of latecomer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or against municipalities — Action against municipality to recover latecomer fees dismissed — City did not guarantee latecomer fees payable to plaintiff for construction of water supply system for its lands — Plaintiff had to build system regardless of latecomer issues — No fiduciary or statutory duty on part of City to impose latecomer fees on adjacent landowners who did not use system.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Beaver Lake for relief against City of Kelowna for breaches of latecomer agreement and of fiduciary duty, negligent misrepresentation and unjust enrichment, and against two corporations for unjust enrichment -- Application by City and corporations for summary judgment, dismissing Beaver Lake's action -- Beaver Lake was subdivider and developer of block of land in Kelowna -- Kelowna had legal power to subdivide and zone land, had statutory duty to impose latecomer charge -- Corporations owned lands adjacent to Beaver Lake's lands -- City told original owner of Beaver Lake's lands it was eligible for latecomer protection -- City entered agreement to have water supplied to lands -- City notified Beaver Lake it was responsible for expenses relating to water supply system -- Beaver Lake completed work required for rezoning of lands -- City informed corporations they did not have to pay latecomer fees to Beaver Lake if they did not use water supply services, because corporations used well water instead -- Corporations applied for, were granted building permit -- Corporations challenged latecomer fees -- City determined corporations not responsible for latecomer fees for water supply -- Beaver Lake commenced action in damages against City, corporations for expenses incurred in constructing water distribution system -- Beaver Lake argued city bylaw required corporations to receive water from system -- it constructed -- City argued Beaver Lake required to build water system by another bylaw, not guaranteed to recover latecomer charges -- Corporations argued no latecomer charges owing to Beaver Lake, and alternatively, that latecomer charges should be reduced because they received little or no benefit from excess services provided by Beaver Lake -- Beaver Lake sought work to be classified as extended, not excess, services -- HELD: Application by Beaver lake dismissed; application by City and corporations allowed and Beaver Lake's action dismissed -- City had no statutory obligation to impose latecomer fees -- City did not breach agreement with Beaver Lake in not imposing latecomer fees on corporations, as latecomer fees not guaranteed under agreement between Beaver Lake and City -- Beaver Lake would have incurred costs of constructing water supply system, regardless of whether or not corporations owed latecomer fees -- City's decision not to impose latecomer fees on corporations was neither arbitrary nor unilateral -- City did not make negligent misrepresentation inducing Beaver Lake to rely on City to impose latecomer fees -- Beaver Lake did not prove it relied on misrepresentations by City -- City did not owe fiduciary duty to Beaver Lake -- City not unjustly enriched, and consequently, corporations not unjustly enriched -- Any benefit to City or corporations lacked corresponding deprivation to Beaver Lake -- Corporations did not even use Beaver Lake's water system -- Corporations not legally obligated to pay latecomer charge to City, as they were not using water system.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Legislation Cited"/>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1979, c. 290, s. 990, s. 990(5)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City of Kelowna: B.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Callahan Construction Company Ltd. and 411471 B.C. Ltd.: M.D. Andrews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811840" from="0,12pt" to="512pt,12pt" strokecolor="#009ddb" strokeweight="1.5pt">
            <v:stroke linestyle="single"/>
          </v:line>
        </w:pict>
      </w:r>
    </w:p>
    <w:p>
      <w:pPr>
        <w:spacing w:line="260" w:lineRule="atLeast"/>
        <w:ind w:left="324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Chronology ..................................... 12</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Relevant legislation ........................... 13</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Municipal Act</w:t>
            </w:r>
            <w:r>
              <w:rPr>
                <w:rFonts w:ascii="arial" w:eastAsia="arial" w:hAnsi="arial" w:cs="arial"/>
                <w:color w:val="000000"/>
                <w:sz w:val="18"/>
                <w:lang w:val="en-US" w:eastAsia="en-US" w:bidi="ar-SA"/>
              </w:rPr>
              <w:t xml:space="preserve"> .................. 13</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Bylaws</w:t>
            </w:r>
            <w:r>
              <w:rPr>
                <w:rFonts w:ascii="arial" w:eastAsia="arial" w:hAnsi="arial" w:cs="arial"/>
                <w:color w:val="000000"/>
                <w:sz w:val="18"/>
                <w:lang w:val="en-US" w:eastAsia="en-US" w:bidi="ar-SA"/>
              </w:rPr>
              <w:t xml:space="preserve"> ......................... 14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Relevant Documents ............................. 20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Bulk Water Agreement</w:t>
            </w:r>
            <w:r>
              <w:rPr>
                <w:rFonts w:ascii="arial" w:eastAsia="arial" w:hAnsi="arial" w:cs="arial"/>
                <w:color w:val="000000"/>
                <w:sz w:val="18"/>
                <w:lang w:val="en-US" w:eastAsia="en-US" w:bidi="ar-SA"/>
              </w:rPr>
              <w:t xml:space="preserve"> ........... 21</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Voluntary Gifting Agreement</w:t>
            </w:r>
            <w:r>
              <w:rPr>
                <w:rFonts w:ascii="arial" w:eastAsia="arial" w:hAnsi="arial" w:cs="arial"/>
                <w:color w:val="000000"/>
                <w:sz w:val="18"/>
                <w:lang w:val="en-US" w:eastAsia="en-US" w:bidi="ar-SA"/>
              </w:rPr>
              <w:t xml:space="preserve"> .... 28</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Latecomer Policy</w:t>
            </w:r>
            <w:r>
              <w:rPr>
                <w:rFonts w:ascii="arial" w:eastAsia="arial" w:hAnsi="arial" w:cs="arial"/>
                <w:color w:val="000000"/>
                <w:sz w:val="18"/>
                <w:lang w:val="en-US" w:eastAsia="en-US" w:bidi="ar-SA"/>
              </w:rPr>
              <w:t xml:space="preserve"> ............... 39</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Latecomer Agreement</w:t>
            </w:r>
            <w:r>
              <w:rPr>
                <w:rFonts w:ascii="arial" w:eastAsia="arial" w:hAnsi="arial" w:cs="arial"/>
                <w:color w:val="000000"/>
                <w:sz w:val="18"/>
                <w:lang w:val="en-US" w:eastAsia="en-US" w:bidi="ar-SA"/>
              </w:rPr>
              <w:t xml:space="preserve"> ............ 45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The Agreement</w:t>
            </w:r>
            <w:r>
              <w:rPr>
                <w:rFonts w:ascii="arial" w:eastAsia="arial" w:hAnsi="arial" w:cs="arial"/>
                <w:color w:val="000000"/>
                <w:sz w:val="18"/>
                <w:lang w:val="en-US" w:eastAsia="en-US" w:bidi="ar-SA"/>
              </w:rPr>
              <w:t xml:space="preserve"> ...................... 45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Calculation of The Latecomer Charge</w:t>
            </w:r>
            <w:r>
              <w:rPr>
                <w:rFonts w:ascii="arial" w:eastAsia="arial" w:hAnsi="arial" w:cs="arial"/>
                <w:color w:val="000000"/>
                <w:sz w:val="18"/>
                <w:lang w:val="en-US" w:eastAsia="en-US" w:bidi="ar-SA"/>
              </w:rPr>
              <w:t>. 54</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Other Relevant Terminology ..................... 60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Extended and Excess Services</w:t>
            </w:r>
            <w:r>
              <w:rPr>
                <w:rFonts w:ascii="arial" w:eastAsia="arial" w:hAnsi="arial" w:cs="arial"/>
                <w:color w:val="000000"/>
                <w:sz w:val="18"/>
                <w:lang w:val="en-US" w:eastAsia="en-US" w:bidi="ar-SA"/>
              </w:rPr>
              <w:t xml:space="preserve"> ....... 61</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Fire Hydrants</w:t>
            </w:r>
            <w:r>
              <w:rPr>
                <w:rFonts w:ascii="arial" w:eastAsia="arial" w:hAnsi="arial" w:cs="arial"/>
                <w:color w:val="000000"/>
                <w:sz w:val="18"/>
                <w:lang w:val="en-US" w:eastAsia="en-US" w:bidi="ar-SA"/>
              </w:rPr>
              <w:t xml:space="preserve"> ...................... 79</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Storm Sewer</w:t>
            </w:r>
            <w:r>
              <w:rPr>
                <w:rFonts w:ascii="arial" w:eastAsia="arial" w:hAnsi="arial" w:cs="arial"/>
                <w:color w:val="000000"/>
                <w:sz w:val="18"/>
                <w:lang w:val="en-US" w:eastAsia="en-US" w:bidi="ar-SA"/>
              </w:rPr>
              <w:t xml:space="preserve"> ........................ 92</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CLAIMS ........................... 98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the latecomer agreement .............. 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Negligent Misrepresentation .................... 103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Breach of fiduciary duty ....................... 112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Unjust enrichment ..............................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FOR LATECOMER CHARGE ...................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CALCULATIONS .....................................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 .........................................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 145</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ILVERMAN J."/>
            <w:bookmarkEnd w:id="5"/>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partial recompense for expenses incurred in constructing a water distribution system on certain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an application brought by the Plaintiff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seeking the following relief:</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Defendant, the City of Kelowna (the "City"):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City be required to recover a Latecomer charge from the other Defendants, and then pay those funds to the Plaintiff; or, in the alternative,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a Latecomer agreement;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Negligent Misrepresentation;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Unjust Enrichment.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other two Defendants (the "Defendant Companies"), damages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amount that the Plaintiff seeks to be ordered in the Declaration, or in the alternative, seeks by way of damages, is $283,982.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three Defendants oppose the granting of the Rule 18A application. The Defendant Companies have filed their own Notice of Motion seeking dismissal of the Plaintiff's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been told that the Defendant Companies have commenced third party proceedings against the City, although that is not technically before me for decision. Nevertheless, the parties have requested that I make a determination with respect to whether or not the Defendant Companies have any legal obligation to pay a Latecomer charge to the City. The parties have told me that this may assist them to resolve the issues between them with respect to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will be useful, at this stage, to briefly list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and other relevant personnel.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various relevant lands.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various relevant sources, locations and controllers of water.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documentation.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Abbreviations which will be used throughout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and other relevant personnel are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Beaver Lake Industrial Park Inc. - the Plaintiff. A subdivider and developer of a block of land (the "Subject Lands") within the 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 one of the Defendants. The party with the legal power to allow subdivision and zoning for industrial use and to enter into a Bulk Water Agreement, and with a statutory duty to impose a Latecomer charge in certain circumstances. The expression "the City" will also be used in this judgment to mean an employee or employees of the City, acting in their capacity as such.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 Callahan Construction Company Ltd. and 411471 B.C. Ltd. They are related companies, both involved in various aspects of the ownership and attempted development of lands (the "411 Lands") adjacent to and north of the Subject Lands. While the two companies were involved in different aspects of the ownership and attempts to subdivide and develop, for the purposes of this judgment, they stand each in the same position as the other in terms of their relationship with the Plaintiff and with the City. They make the same submissions with respect to the matters before this Court, and they are represented by the same counsel. I will refer to them together and will make no further distinctions between them.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Enterprise Corporation ("BCEC"). Not a party to this litigation. The previous owner of the 411 Lands, which BCEC sold to the Defendant Companies in January, 1992, for development purposes.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Winfield and Okanagan Centre Irrigation District ("WOCID") - Not a party to this litigation. The statute-created body with the responsibility and duty of making water supplies available in appropriate circumstances to appropriate parties. Subsequently renamed District of Lake Country.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District of Lake Country ("DLC") - Formerly WOCID.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 Pilling and Assoc. Ltd. ("Pace") - The engineering company hired by the Plaintiff to assist it with the rezoning and subdivision application of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various areas of land that have relevance are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Lands" - 50 acres of farm land located at the southeast corner of Beaver Lake Road and Jim Bailey Road, in the City.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"411 Lands" - 60 acres adjacent to and to the immediate north of the Subject Lands, being the northeast corner of Beaver Lake Road and Jim Bailey Road.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 Beaver Lake Road - the municipal address of a building built by the Defendant Companies on the southwest corner of the 411 Lands, using approximately 5% of the 411 Lands (the "Building").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Supply Area" - the terminology used to define the Subject Lands in a document entitled the Bulk Water Agreement. The 411 Lands are not in the First Supply Area.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Supply Area" - the terminology used to define the lands immediately to the south and adjacent to the Subject Lands, as referred to in the Bulk Water Agreement. The 411 Lands are not in the Second Supply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a number of locations of water, sources of water, and parties controlling water, which have relevance: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WOCID - the party agreeing (and with the statutory authority to do so) to supply water to the Subject Lands after entering into a Bulk Water Agreement with the City. Later becomes DLC.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Community Water System ("CWS") - the type of water system required for domestic use by the City's relevant bylaws to properties zoned for industrial use. The Subject Lands and the 411 Lands were such properties. The Well on the 411 Lands is not part of a CWS.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system - the CWS built in accordance with the relevant bylaws and the requirements of the Bulk Water Agreement, bringing water under Beaver Lake Road to the Subject Lands and, arguably, to the Riverside Hydrant. Also referred to as "waterworks" and "waterworks system".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Pressure Reducing Valve (the "PRV") - a pressure regulating and shut-off valve and meter required by WOCID to be built as part of the Plaintiff's waterworks system, after which it became, by agreement, the property of WOCID.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Well on the 411 Lands (the "Well") - the source of water upon which the Defendant Companies were permitted by the City to rely for their domestic supply to the 411 Lands. This was a source of water independent of the waterworks system built by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Riverside Fire Hydrant (the "Riverside Hydrant") - a pre-existing fire hydrant (not built by the Plaintiff) located on property to the north of the Subject Lands, less than 50 metres from the Building built on the 411 Lands at 350 Beaver Lake Road. The source of water for fire protection which the City permitted for the 411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a number of documents of relevance: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Bulk Water Agreement (the "BWA") - an agreement between WOCID and the City setting out the requirements and conditions under which water would be supplied to the Subject Lands. Neither the Plaintiff nor the Defendant Companies were parties to this agreement. The City was responsible for the cost of the waterworks referred to in the BWA. The City would not have entered into the BWA but for the interests of the Plaintiff, who was applying for rezoning. Although the Plaintiff was not a party to the BWA, it was aware of its provisions, approved of its provisions, and agreed that it would bear all of the expenses that the City technically agreed to bear by signing the Agreement.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Voluntary Gifting Agreement (the "VGA") - an agreement between the City and the Plaintiff whereby the Plaintiff agreed to assume the costs of the construction of the waterworks that the City agreed to under the BWA, and agreed that the City would become the owner of the works.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Latecomer Policy (the "LCP") - the City's written policy with respect to Latecomer charges, which was provided for under the relevant legislation.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Latecomer Agreement (the "LCA") - the written agreement between the City and the Plaintiff, governed by the LCP and the relevant legislation, whereby the City agreed to collect, and remit to the Plaintiff, in certain specified situations, contributions from the developers of adjacent properties who would come to use the waterworks to be provided and paid for by the Plaintiff under the previously-mentioned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will be useful if a summary of the abbreviations that appear in this judgment are set out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BWA - Bulk Water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CWS - Community Water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DLC - District of Lake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EES - Extended and Excess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LCA - Latecomer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LCP - Latecomer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PRV- A Pressure Regulating and Shut-Off Valve and 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VGA - Voluntary Gifting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WOCID - Winfield and Okanagan Centre Irrigation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chronology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1989</w:t>
      </w:r>
      <w:r>
        <w:rPr>
          <w:rFonts w:ascii="arial" w:eastAsia="arial" w:hAnsi="arial" w:cs="arial"/>
          <w:color w:val="000000"/>
          <w:sz w:val="20"/>
          <w:lang w:val="en-US" w:eastAsia="en-US" w:bidi="ar-SA"/>
        </w:rPr>
        <w:t xml:space="preserve"> - Hiram Walker &amp; Sons Limited ("Hiram Walker") is the owner of the Subject Lands, and is discussing with the City the possibility of subdividing for industrial use. The potential problems of water supply for domestic use and fire protection are already being discussed.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1992</w:t>
      </w:r>
      <w:r>
        <w:rPr>
          <w:rFonts w:ascii="arial" w:eastAsia="arial" w:hAnsi="arial" w:cs="arial"/>
          <w:color w:val="000000"/>
          <w:sz w:val="20"/>
          <w:lang w:val="en-US" w:eastAsia="en-US" w:bidi="ar-SA"/>
        </w:rPr>
        <w:t xml:space="preserve"> - the Defendant Companies buy the 411 Lands from BCEC for development purposes.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November 3, 1992</w:t>
      </w:r>
      <w:r>
        <w:rPr>
          <w:rFonts w:ascii="arial" w:eastAsia="arial" w:hAnsi="arial" w:cs="arial"/>
          <w:color w:val="000000"/>
          <w:sz w:val="20"/>
          <w:lang w:val="en-US" w:eastAsia="en-US" w:bidi="ar-SA"/>
        </w:rPr>
        <w:t xml:space="preserve"> - Hiram Walker files for rezoning of the Subject Lands.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May 6, 1993</w:t>
      </w:r>
      <w:r>
        <w:rPr>
          <w:rFonts w:ascii="arial" w:eastAsia="arial" w:hAnsi="arial" w:cs="arial"/>
          <w:color w:val="000000"/>
          <w:sz w:val="20"/>
          <w:lang w:val="en-US" w:eastAsia="en-US" w:bidi="ar-SA"/>
        </w:rPr>
        <w:t xml:space="preserve"> - the City writes an internal memo relating to the rezoning process of the Subject Lands. It refers to the "... strong desire for fire protection with a street fire hydrant system ..." and includes what appears to be one of the earliest, if not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earliest reference to Latecomer provisions in the following terms: "under the provisions of s. 990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the applicant will be eligible for Latecomer protection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1994</w:t>
      </w:r>
      <w:r>
        <w:rPr>
          <w:rFonts w:ascii="arial" w:eastAsia="arial" w:hAnsi="arial" w:cs="arial"/>
          <w:color w:val="000000"/>
          <w:sz w:val="20"/>
          <w:lang w:val="en-US" w:eastAsia="en-US" w:bidi="ar-SA"/>
        </w:rPr>
        <w:t xml:space="preserve"> - the Plaintiff purchases the Subject Lands from Hiram Walker intending to build an industrial park.</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September 12, 1994</w:t>
      </w:r>
      <w:r>
        <w:rPr>
          <w:rFonts w:ascii="arial" w:eastAsia="arial" w:hAnsi="arial" w:cs="arial"/>
          <w:color w:val="000000"/>
          <w:sz w:val="20"/>
          <w:lang w:val="en-US" w:eastAsia="en-US" w:bidi="ar-SA"/>
        </w:rPr>
        <w:t xml:space="preserve"> - the City writes the Plaintiff with respect to the proposed rezoning application including references to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Domestic water and fire protection.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having been reached with WOCID to supply water.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Servicing and developing requirements relating to the supply of that water.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be responsible for attending to those requirements, including the expense of those requirements.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be "... eligible for latecomer protection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December 9, 1994</w:t>
      </w:r>
      <w:r>
        <w:rPr>
          <w:rFonts w:ascii="arial" w:eastAsia="arial" w:hAnsi="arial" w:cs="arial"/>
          <w:color w:val="000000"/>
          <w:sz w:val="20"/>
          <w:lang w:val="en-US" w:eastAsia="en-US" w:bidi="ar-SA"/>
        </w:rPr>
        <w:t xml:space="preserve"> - the City and WOCID sign the BWA. Neither the Plaintiff nor the Defendant Companies are parties to this agreement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March 9, 1995</w:t>
      </w:r>
      <w:r>
        <w:rPr>
          <w:rFonts w:ascii="arial" w:eastAsia="arial" w:hAnsi="arial" w:cs="arial"/>
          <w:color w:val="000000"/>
          <w:sz w:val="20"/>
          <w:lang w:val="en-US" w:eastAsia="en-US" w:bidi="ar-SA"/>
        </w:rPr>
        <w:t xml:space="preserve"> - the City writes a letter to the Plaintiff summarizing a number of earlier letters, referring to the rezoning application, and including references to the following: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Domestic water and fire protection.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BWA.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 Plaintiff will be responsible for the City's obligations under the BWA, including the expense thereof.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comments under the heading of "Latecomer Considerations":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provisions of s. 990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the applicant may be eligible for latecomer protection for the following item(s):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road improvements on Beaver Lake Road and Jim Bailey Road;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mains on Jim Bailey and Beaver Lake Roads;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storm drainage improvements on Beaver Lake Road and Jim Bailey Road."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Uncertain Date</w:t>
      </w:r>
      <w:r>
        <w:rPr>
          <w:rFonts w:ascii="arial" w:eastAsia="arial" w:hAnsi="arial" w:cs="arial"/>
          <w:color w:val="000000"/>
          <w:sz w:val="20"/>
          <w:lang w:val="en-US" w:eastAsia="en-US" w:bidi="ar-SA"/>
        </w:rPr>
        <w:t xml:space="preserve"> - the City and the Plaintiff enter into a VGA in which the Plaintiff agrees to assume the costs of the construction of the waterworks agreed to under the BWA.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May 6, 1996</w:t>
      </w:r>
      <w:r>
        <w:rPr>
          <w:rFonts w:ascii="arial" w:eastAsia="arial" w:hAnsi="arial" w:cs="arial"/>
          <w:color w:val="000000"/>
          <w:sz w:val="20"/>
          <w:lang w:val="en-US" w:eastAsia="en-US" w:bidi="ar-SA"/>
        </w:rPr>
        <w:t xml:space="preserve"> - WOCID writes the City about the continuing development, and notes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propose a tie-in to our existing works on Beaver Lake Road at the termination of the 250 mm diameter mainline supplying Riverside Forest Products on a temporary basis until the chamber, tie-in etc. are completed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May 14, 1996</w:t>
      </w:r>
      <w:r>
        <w:rPr>
          <w:rFonts w:ascii="arial" w:eastAsia="arial" w:hAnsi="arial" w:cs="arial"/>
          <w:color w:val="000000"/>
          <w:sz w:val="20"/>
          <w:lang w:val="en-US" w:eastAsia="en-US" w:bidi="ar-SA"/>
        </w:rPr>
        <w:t xml:space="preserve"> - the City writes to Pace with respect to the ongoing development. The letter repeats the comments about Latecomer considerations referred to in the previous letters and memos, and also notes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your client's responsibility to arrange for a professional engineer to prepare and submit the Latecomer agreement for some or all of the above items. The Latecomer agreements must be submitted for Council's adoption prior to the City's final acceptance of the works, which under the terms of the Latecomer policy is the date of substantial completion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16, 1996</w:t>
      </w:r>
      <w:r>
        <w:rPr>
          <w:rFonts w:ascii="arial" w:eastAsia="arial" w:hAnsi="arial" w:cs="arial"/>
          <w:color w:val="000000"/>
          <w:sz w:val="20"/>
          <w:lang w:val="en-US" w:eastAsia="en-US" w:bidi="ar-SA"/>
        </w:rPr>
        <w:t xml:space="preserve"> - the Plaintiff substantially completes the work required under the BWA.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16, 1996</w:t>
      </w:r>
      <w:r>
        <w:rPr>
          <w:rFonts w:ascii="arial" w:eastAsia="arial" w:hAnsi="arial" w:cs="arial"/>
          <w:color w:val="000000"/>
          <w:sz w:val="20"/>
          <w:lang w:val="en-US" w:eastAsia="en-US" w:bidi="ar-SA"/>
        </w:rPr>
        <w:t xml:space="preserve"> - the date that the LCA becomes effective.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17, 1996</w:t>
      </w:r>
      <w:r>
        <w:rPr>
          <w:rFonts w:ascii="arial" w:eastAsia="arial" w:hAnsi="arial" w:cs="arial"/>
          <w:color w:val="000000"/>
          <w:sz w:val="20"/>
          <w:lang w:val="en-US" w:eastAsia="en-US" w:bidi="ar-SA"/>
        </w:rPr>
        <w:t xml:space="preserve"> - Pace delivers to the City on behalf of the Plaintiff the calculations to determine the appropriate Latecomer charge which would be charged by the City under the LCA. The City reviews and accepts the calculations for the Latecomer charges and incorporates the charges into the LCA.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December 16, 1996</w:t>
      </w:r>
      <w:r>
        <w:rPr>
          <w:rFonts w:ascii="arial" w:eastAsia="arial" w:hAnsi="arial" w:cs="arial"/>
          <w:color w:val="000000"/>
          <w:sz w:val="20"/>
          <w:lang w:val="en-US" w:eastAsia="en-US" w:bidi="ar-SA"/>
        </w:rPr>
        <w:t xml:space="preserve"> - the City adopts the LCA by resolution. Included in that resolution is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Council require the owner ... provide the excess or extended services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Council consider the cost to provide the extended services ... to be excessive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21, 1997</w:t>
      </w:r>
      <w:r>
        <w:rPr>
          <w:rFonts w:ascii="arial" w:eastAsia="arial" w:hAnsi="arial" w:cs="arial"/>
          <w:color w:val="000000"/>
          <w:sz w:val="20"/>
          <w:lang w:val="en-US" w:eastAsia="en-US" w:bidi="ar-SA"/>
        </w:rPr>
        <w:t xml:space="preserve"> - the City writes to the Plaintiff confirming that the LCA is in effect for "ten years from October 16, 1996" and notifying the Plaintiff that all "owners of the benefiting lands have been advised in writing of the Latecomer charges to be imposed on their land."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21, 1997</w:t>
      </w:r>
      <w:r>
        <w:rPr>
          <w:rFonts w:ascii="arial" w:eastAsia="arial" w:hAnsi="arial" w:cs="arial"/>
          <w:color w:val="000000"/>
          <w:sz w:val="20"/>
          <w:lang w:val="en-US" w:eastAsia="en-US" w:bidi="ar-SA"/>
        </w:rPr>
        <w:t xml:space="preserve"> - the City writes to the Defendant Companies about the Latecomer charge, including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recently approved development required [the Plaintiff] to install extended services which provided a benefit to your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you do not subdivide or use these services, you will not have to pay a Latecomer charge.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cost of installing these services will be paid for by [the Plaintiff]. Should you choose to connect to or use these services within a 10 year period ... you will be required to pay the Latecomer charge ... to the City for this benefit.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March 25, 1997</w:t>
      </w:r>
      <w:r>
        <w:rPr>
          <w:rFonts w:ascii="arial" w:eastAsia="arial" w:hAnsi="arial" w:cs="arial"/>
          <w:color w:val="000000"/>
          <w:sz w:val="20"/>
          <w:lang w:val="en-US" w:eastAsia="en-US" w:bidi="ar-SA"/>
        </w:rPr>
        <w:t xml:space="preserve"> - the Defendant Companies respond to the City's letter of January 21, 1997 indicating that they are "... exempt from the Latecomer charge" because they "... have a previous commitment for servicing from [WOCID]."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5, 1998</w:t>
      </w:r>
      <w:r>
        <w:rPr>
          <w:rFonts w:ascii="arial" w:eastAsia="arial" w:hAnsi="arial" w:cs="arial"/>
          <w:color w:val="000000"/>
          <w:sz w:val="20"/>
          <w:lang w:val="en-US" w:eastAsia="en-US" w:bidi="ar-SA"/>
        </w:rPr>
        <w:t xml:space="preserve"> - the Plaintiff's financial statements show a profit with respect to the development of the Subject Lands in an amount in excess of $750,000.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29, 1998</w:t>
      </w:r>
      <w:r>
        <w:rPr>
          <w:rFonts w:ascii="arial" w:eastAsia="arial" w:hAnsi="arial" w:cs="arial"/>
          <w:color w:val="000000"/>
          <w:sz w:val="20"/>
          <w:lang w:val="en-US" w:eastAsia="en-US" w:bidi="ar-SA"/>
        </w:rPr>
        <w:t xml:space="preserve"> - the City responds to the Defendant Companies' letter of March 25, 1997, noting that the City had checked with WOCID and that "... a previous commitment between WOCID and yourself does not exist."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April 16, 1999</w:t>
      </w:r>
      <w:r>
        <w:rPr>
          <w:rFonts w:ascii="arial" w:eastAsia="arial" w:hAnsi="arial" w:cs="arial"/>
          <w:color w:val="000000"/>
          <w:sz w:val="20"/>
          <w:lang w:val="en-US" w:eastAsia="en-US" w:bidi="ar-SA"/>
        </w:rPr>
        <w:t xml:space="preserve"> - the City writes a letter indicating that it considers WOCID's demands from the Defendant Companies to be unreasonable. WOCID has been demanding a payment of one million dollars to build a reservoir in return for which it would permit the Defendant Companies to have access to the water in the Plaintiff's system.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26, 1999</w:t>
      </w:r>
      <w:r>
        <w:rPr>
          <w:rFonts w:ascii="arial" w:eastAsia="arial" w:hAnsi="arial" w:cs="arial"/>
          <w:color w:val="000000"/>
          <w:sz w:val="20"/>
          <w:lang w:val="en-US" w:eastAsia="en-US" w:bidi="ar-SA"/>
        </w:rPr>
        <w:t xml:space="preserve"> - the Defendant Companies apply to the City for a building permit for the 411 Lands.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December 19, 1999</w:t>
      </w:r>
      <w:r>
        <w:rPr>
          <w:rFonts w:ascii="arial" w:eastAsia="arial" w:hAnsi="arial" w:cs="arial"/>
          <w:color w:val="000000"/>
          <w:sz w:val="20"/>
          <w:lang w:val="en-US" w:eastAsia="en-US" w:bidi="ar-SA"/>
        </w:rPr>
        <w:t xml:space="preserve"> - the City writes an internal memo with respect to the 411 Lands. The "interim fire protection" is to be provided by the Riverside Hydrant. The interim domestic water supply is to be supplied by the Well.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May 5, 2000</w:t>
      </w:r>
      <w:r>
        <w:rPr>
          <w:rFonts w:ascii="arial" w:eastAsia="arial" w:hAnsi="arial" w:cs="arial"/>
          <w:color w:val="000000"/>
          <w:sz w:val="20"/>
          <w:lang w:val="en-US" w:eastAsia="en-US" w:bidi="ar-SA"/>
        </w:rPr>
        <w:t xml:space="preserve"> - the building permit is issued.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June 28, 2000</w:t>
      </w:r>
      <w:r>
        <w:rPr>
          <w:rFonts w:ascii="arial" w:eastAsia="arial" w:hAnsi="arial" w:cs="arial"/>
          <w:color w:val="000000"/>
          <w:sz w:val="20"/>
          <w:lang w:val="en-US" w:eastAsia="en-US" w:bidi="ar-SA"/>
        </w:rPr>
        <w:t xml:space="preserve"> - an internal memorandum of the City with respect to the Defendant Companies' building permit, relating to domestic water and fire protection. The memo contains revised comments and requirements regarding this permit building application, including the following: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located within DLC water servicing areas.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interim fire protection must meet current fire protection standards. Any extension of the existing water supply system installed by a previous development on the south side of Beaver Lake Road is subject to payment of the Latecomer registered against the subject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Well is located on the 411 Lands. It is the intention of the Defendant Companies to develop the Well for the purpose of supplying domestic water. The domestic water supply from the Well will be permitted for up to one year after the domestic water supply is made available for the subject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is required to submit, prior to occupancy of this development, a proposed phasing of the Beaver Lake upgrading. Construction phasing, costs and trigger points must be mutually agreed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"water main Latecomer" is noted as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December 5, 2000</w:t>
      </w:r>
      <w:r>
        <w:rPr>
          <w:rFonts w:ascii="arial" w:eastAsia="arial" w:hAnsi="arial" w:cs="arial"/>
          <w:color w:val="000000"/>
          <w:sz w:val="20"/>
          <w:lang w:val="en-US" w:eastAsia="en-US" w:bidi="ar-SA"/>
        </w:rPr>
        <w:t xml:space="preserve"> - the City writes to the Plaintiff advising that the Defendant Companies are challenging the Latecomer charge. The letter also notes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City was directed by its legal counsel that issuance of the building permit cannot be delayed due to issues involving a Latecomer agreement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City's position is one of administrator for the latecomer agreements. If there is a conflict between parties, it is not the City's intent to be the go-between and to answer the questions. The City's intent is to bring the parties together to meet and to have them resolve the issues.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December 14, 2000</w:t>
      </w:r>
      <w:r>
        <w:rPr>
          <w:rFonts w:ascii="arial" w:eastAsia="arial" w:hAnsi="arial" w:cs="arial"/>
          <w:color w:val="000000"/>
          <w:sz w:val="20"/>
          <w:lang w:val="en-US" w:eastAsia="en-US" w:bidi="ar-SA"/>
        </w:rPr>
        <w:t xml:space="preserve"> - representatives of the City, the Plaintiff and the Defendant Companies meet to discuss the issue of the Latecomer charge. The Defendant Companies take the position that they are not obligated to pay a Latecomer charge to the City for water since the 411 Lands receive a domestic water supply from a Well and are relying on the Riverside Hydrant for fire protection.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February 2, 2001</w:t>
      </w:r>
      <w:r>
        <w:rPr>
          <w:rFonts w:ascii="arial" w:eastAsia="arial" w:hAnsi="arial" w:cs="arial"/>
          <w:color w:val="000000"/>
          <w:sz w:val="20"/>
          <w:lang w:val="en-US" w:eastAsia="en-US" w:bidi="ar-SA"/>
        </w:rPr>
        <w:t xml:space="preserve"> - the City delivers a letter to the Plaintiff indicating it has made a formal decision after "extensive review" of the LCA and has determined that "... no water Latecomer costs are due as a result of the development activities to date." Also, that the Latecomer charge for road and sewage should be reduced from the figures earlier submitted by Pace, and accepted by the City. In coming to this conclusion, the letter indicates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domestic water source on the 411 Lands was from the on-site Well.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 protection was provided by the Riverside Hydrant, which was a pre-existing hydrant.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work pursuant to the BWA and the VGA had not resulted in an upgrading of the Riverside Hydrant.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Riverside Hydrant is not part of the LCA.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storm sewer Latecomer charge would be reduced.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February 12, 2001</w:t>
      </w:r>
      <w:r>
        <w:rPr>
          <w:rFonts w:ascii="arial" w:eastAsia="arial" w:hAnsi="arial" w:cs="arial"/>
          <w:color w:val="000000"/>
          <w:sz w:val="20"/>
          <w:lang w:val="en-US" w:eastAsia="en-US" w:bidi="ar-SA"/>
        </w:rPr>
        <w:t xml:space="preserve"> - the City receives from the Defendant Companies and then pays to the Plaintiff a Latecomer charge of $25,132.80 for the highway Latecomer.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March 12, 2001</w:t>
      </w:r>
      <w:r>
        <w:rPr>
          <w:rFonts w:ascii="arial" w:eastAsia="arial" w:hAnsi="arial" w:cs="arial"/>
          <w:color w:val="000000"/>
          <w:sz w:val="20"/>
          <w:lang w:val="en-US" w:eastAsia="en-US" w:bidi="ar-SA"/>
        </w:rPr>
        <w:t xml:space="preserve"> - the City receives from the Defendant Companies and then pays to the Plaintiff a Latecomer charge of $12,768.20 for the storm sewer ("storm") Latecomer.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13, 2004</w:t>
      </w:r>
      <w:r>
        <w:rPr>
          <w:rFonts w:ascii="arial" w:eastAsia="arial" w:hAnsi="arial" w:cs="arial"/>
          <w:color w:val="000000"/>
          <w:sz w:val="20"/>
          <w:lang w:val="en-US" w:eastAsia="en-US" w:bidi="ar-SA"/>
        </w:rPr>
        <w:t xml:space="preserve"> - the City writes to counsel for the Defendant Companies noting that it had made an error in 1999 in measuring the amount of water flow which the Riverside Hydrant was capable of providing ("fire flow"), and in permitting the Defendant Companies to use the Riverside Hydrant for fire protection. The letter indicates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Either your client would have had to provide some unidentified new source to meet the fire flow requirements or the fire flow requirements could have been satisfied by the utilization of the hydrants installed by [the Plaintiff], with the attendant payment of the water Latecomer charge.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late discovery of this error in processing your client's building permit application in 1999-2000 is regrettable, the City cannot ignore the fact that the Riverside Hydrant is unable, on its own, to meet the fire flows required by the bylaw .... The City is unaware of any alternative to meeting the fire flow requirements apart from accessing the hydrants installed by the Plaintiff developer. Hence, this demand for payment of the Latecomer charge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15, 2006</w:t>
      </w:r>
      <w:r>
        <w:rPr>
          <w:rFonts w:ascii="arial" w:eastAsia="arial" w:hAnsi="arial" w:cs="arial"/>
          <w:color w:val="000000"/>
          <w:sz w:val="20"/>
          <w:lang w:val="en-US" w:eastAsia="en-US" w:bidi="ar-SA"/>
        </w:rPr>
        <w:t xml:space="preserve"> - ten years since the LCA became effective. The last day on which the Plaintiff may be eligible for a Latecomer fee.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legislation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current legislation governing such matters is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All parties agree that, at the relevant times, the applicable legislation was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R.S.B.C. 1979, c. 290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Section 990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990.(1) For the purposes of this section "</w:t>
      </w:r>
      <w:r>
        <w:rPr>
          <w:rFonts w:ascii="arial" w:eastAsia="arial" w:hAnsi="arial" w:cs="arial"/>
          <w:b/>
          <w:color w:val="000000"/>
          <w:sz w:val="20"/>
          <w:lang w:val="en-US" w:eastAsia="en-US" w:bidi="ar-SA"/>
        </w:rPr>
        <w:t>excess or extended services" means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portion of a highway system that will provide access to land other than the land being subdivided or developed,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a portion of a water, sewage or drainage system that will serve land other than the land being subdivided or developed.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A local government may require that the owner of land that is to be subdivided or developed provide excess or extended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Where an owner, in accordance with a bylaw under section 989, provides a highway or water, sewage or drainage facilities that serve land other than the land being subdivided or developed, this section applies.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Where a local government makes a requirement under subsection (2), the cost of providing the excess or extended services shall be paid for by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 or regional district,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where the local government considers its costs to provide these services, in whole or in part, to be excessive, by the owner of the land being subdivided or developed.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Where the owner is required, under subsection (4)(b), to pay all or part of the costs of excess or extended services, the municipality or regional district shall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proportion of the cost of providing the highway or water, sewerage or drainage facilities that it considers constitutes the excess or extended service,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determine which part of the excess or extended service that it considers will benefit each of the parcels of land that will be served by the excess or extended service,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impose, as a condition of an owner </w:t>
      </w:r>
      <w:r>
        <w:rPr>
          <w:rFonts w:ascii="arial" w:eastAsia="arial" w:hAnsi="arial" w:cs="arial"/>
          <w:b/>
          <w:i/>
          <w:color w:val="000000"/>
          <w:sz w:val="20"/>
          <w:lang w:val="en-US" w:eastAsia="en-US" w:bidi="ar-SA"/>
        </w:rPr>
        <w:t>connecting to or using the excess or extended service</w:t>
      </w:r>
      <w:r>
        <w:rPr>
          <w:rFonts w:ascii="arial" w:eastAsia="arial" w:hAnsi="arial" w:cs="arial"/>
          <w:b/>
          <w:color w:val="000000"/>
          <w:sz w:val="20"/>
          <w:lang w:val="en-US" w:eastAsia="en-US" w:bidi="ar-SA"/>
        </w:rPr>
        <w:t>, a charge related to the benefit determined under paragraph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Where the municipality or regional district pays all or part of the costs of excess or extended services, it may recover costs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 charge under subsection (5)(c),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 rate, tax or charge under section 674, except subsection (4), and sections 675 and 678 apply.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Where the owner pays the costs of excess or extended services, the municipality or regional district shall pay the owner all of the charges collected under subsection (5)(c)</w:t>
      </w:r>
      <w:r>
        <w:rPr>
          <w:rFonts w:ascii="arial" w:eastAsia="arial" w:hAnsi="arial" w:cs="arial"/>
          <w:color w:val="000000"/>
          <w:sz w:val="20"/>
          <w:lang w:val="en-US" w:eastAsia="en-US" w:bidi="ar-SA"/>
        </w:rPr>
        <w:t>, and where the owner pays a proportion of the costs he shall be repaid a corresponding proportion of all charges collected.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There shall be included in the charge payable under subsection (5)(c), interest calculated annually at a rate prescribed by bylaw, payable for the period commencing when the excess or extended services were completed, up to the date that the connection is made or the use commences.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Charges payable for Latecomer connections or use under subsection (5)(c) shall be collected during the period commencing when the excess or extended services are completed, up to a date to be agreed upon by the owner and the local government and, failing agreement, to be determined pursuant to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but not charges shall be payable beyond 10 years from the date of completion of the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pursuing their goal of developing their respective properties, both the Plaintiff and the Defendant Companies were governed in part by two Kelowna bylaws: The Zoning Bylaw and the Subdivision Development and Servicing Bylaw (the "Subdivision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combined effect of the two bylaws, together with the position taken by the City, required that, if the applications for rezoning and subdivision development were to be successful, the properties had to be connected to and supplied by a CWS.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argues that the bylaw requirement for connection to a CWS made it mandatory that the Defendant Companies receive their water, for the 411 Lands, from a CWS, such as the Plaintiff's system. The mandatory nature of the requirement also meant that the City had a legal duty to require zoning and subdivision applicants such as the Defendant Companies to comply with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Since the 411 Lands obtained, and continue to obtain, its domestic water supply from the on-site Well, the Plaintiff argues that this is contrary to the City's own bylaw, and allows the Defendant Companies to avoid connecting to the waterworks which the Plaintiff has paid for, and for which it seeks to recover the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City argues that it was justified in permitting the Defendant Companies to use the Well instead of connecting to the Plaintiff's waterworks. The City is authorized to do so under the appropriate bylaw. The City engineer exercised his discretion to relieve the developer of the requirement of connecting to a CWS. DLC was seeking to charge the Defendant Companies an unjustified amount (one million dollars) for water to be provided, and the City had a duty to protect the Defendant Companies from this unjustified treatment, just as surely as it had a duty to provide the Plaintiff with whatever it was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employee of the City, who is an engineer and was at all relevant times the Director of Works and Utilities for the City, has deposed that under the subdivision bylaw, the City engineer has the discretion to relieve an owner/developer from the servicing requirements applicable to his or her property for engineering reasons. He deposed that he has seldom done that, but that he considered it appropriate, in his discretion, in this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will be useful to briefly discuss the following relevant documents: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Bulk Water Agreement (BWA).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Voluntary Gifting Agreement (VGA).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Latecomer Policy (LCP).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Latecomer Agreement (LCA).</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Bulk Water Agreement (BWA)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order to obtain a water supply for the Subject Lands, the City entered into negotiations with WOCID for the supply of water. The Plaintiff was not directly involved in the negotiations, but was kept informed by the City about the intended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9, 1994, the City and WOCID executed a written agreement (the BWA) for the bulk supply of water to the Subject Lands and some adjacent sites. The Plaintiff was not a party to the BWA.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Relevant details of the BWA are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that the water was for domestic, commercial, industrial and firefighting purposes.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would install and maintain or cause to be installed and maintained any necessary water distribution works.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would pay to WOCID certain specified sums.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WOCID would extend, at the City's cost, the WOCID water supply works including the construction of a pressure reducing station necessary to provide water to a designated point (the "interconnection point") and permit the City to connect the same through the PRV to the water distribution system of the City.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interconnection point was the northwest corner of the Subject Lands.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WOCID would install at the City's expense, the PRV at the interconnection point.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WOCID would supply a flow of water to the interconnection point for distribution by the City to owners and occupiers of lands contained within boundaries set out in the BWA, and also to certain additional boundaries set out in the BWA.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to be serviced, which was referred to in the BWA as "the lands contained within the boundaries set out in the BWA", is referred to as the "First Supply Area".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Supply Area in the BWA is the Subject Lands.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BWA also provides for the building of increased capacity built into the waterworks which would allow for the supply of water to the property other than the Subject Lands.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referred to as "certain additional boundaries" in the BWA, is referred to as the "Second Supply Area".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Supply Area refers to lands immediately to the south of the Subject Lands.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Supply Area and the Second Supply Area are the only areas expressly referred to in the BWA as potential intended recipients of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waterworks system was to be built under the roads of the Plaintiff's subdivision. When completed, the system would belong to the City; the PRV would belong to WOCID.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411 Lands are not within the First Supply Area, or the Second Supply Area, and are not referred to in any way in the BWA. The Plaintiff knew that the BWA did not provide for water to be supplied to the 411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BWA restricted the City's ability to supply water obtained through the BWA to only those areas referred to in the BWA. In other words, the City had no legal right to supply water through the waterworks system, to the 411 Lands, because the BWA did not permit it. This is still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Despite years of subsequent efforts, the City has never been able to reach an agreement with WOCID, or its successor DLC, either before or after the BWA, to supply water to the 411 Lands. Even if the Defendant Companies are able to secure a CWS at some point in the future, there is no certainty that this water will be delivered through the Plaintiff's waterworks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Voluntary Gifting Agreement (VGA)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VGA was an agreement between the Plaintiff and the City in which the Plaintiff agreed to assume the costs of the construction of the waterworks which the City agreed to under the BWA.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signed or dated copy of the VGA in evidence. There is an unsigned and undated copy. None of the counsel took issue with this. It is agreed that the VGA was signed and in effect at all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preamble notes that the Plaintiff wishes to develop the Subject Lands to a higher density than was permitted at the time under the current zoning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preamble also notes that the current municipal servicing was insufficient to service adequately the Subject Lands if they were to be developed to higher density.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VGA also sets out the terms for domestic water supply and fire protection in the same terms as in the BWA.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VGA also refers to "a water main extension along Beaver Lake frontage of the property, including fire hydrants ..." as part of the system which was agreed to be built under the BWA.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VGA also refers to the "provision of a water main extension along the Jim Bailey Road frontage of the property, including fire hydrants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VGA also notes the following under the heading of "Latecomer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provisions of s. 990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the applicant will be eligible for Latecomer protection for the following item(s):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mains on Jim Bailey and Beaver Lake Roads;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Storm drainage improvements on Beaver Lake Road and Jim Bailey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Companies argue that the phrase "voluntary gifting" is a misnomer. In fact, it is a contract between the Plaintiff and the City. The consideration given by the City to the Plaintiff was the rezoning that it had applied for. Without the VGA, this would not have been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Companies argue that, therefore, the Plaintiff received a benefit for installing the water mains and fire hydrants along both roads. That benefit was the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argues that the Plaintiff undertook to provide EES under the VGA, because the zoning bylaw required it. It was not undertaken because of any representation made by the City that a Latecomer charge would be recoverable.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Latecomer Policy (LCP)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was at all material times a written LCP in place at the City. Its definitions and terms govern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defines a number of words, including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Benefiting Lands:</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means land deemed by the Council to benefit from an extended service other than the lands being subdivided or developed.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Excess Service</w:t>
            </w:r>
            <w:r>
              <w:rPr>
                <w:rFonts w:ascii="arial" w:eastAsia="arial" w:hAnsi="arial" w:cs="arial"/>
                <w:color w:val="000000"/>
                <w:sz w:val="18"/>
                <w:lang w:val="en-US" w:eastAsia="en-US" w:bidi="ar-SA"/>
              </w:rPr>
              <w: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means the oversizing built into a highway, water, sewage or drainage system in order to provide excess capacity to service properties other than the land being subdivided or developed.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Extended Service</w:t>
            </w:r>
            <w:r>
              <w:rPr>
                <w:rFonts w:ascii="arial" w:eastAsia="arial" w:hAnsi="arial" w:cs="arial"/>
                <w:color w:val="000000"/>
                <w:sz w:val="18"/>
                <w:lang w:val="en-US" w:eastAsia="en-US" w:bidi="ar-SA"/>
              </w:rPr>
              <w: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means a highway, water, sewage or drainage system that is being installed by a developer to service his own property but which also extends the immediate capability of being serviced to other adjacent or abutting properties.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Latecomer</w:t>
            </w:r>
            <w:r>
              <w:rPr>
                <w:rFonts w:ascii="arial" w:eastAsia="arial" w:hAnsi="arial" w:cs="arial"/>
                <w:color w:val="000000"/>
                <w:sz w:val="18"/>
                <w:lang w:val="en-US" w:eastAsia="en-US" w:bidi="ar-SA"/>
              </w:rPr>
              <w: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means an owner of Benefiting Lands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Latecomer Charge</w:t>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means a charge imposed on benefiting land by a resolution of Council which will be collected by the City as a condition of a Latecomer </w:t>
            </w:r>
            <w:r>
              <w:rPr>
                <w:rFonts w:ascii="arial" w:eastAsia="arial" w:hAnsi="arial" w:cs="arial"/>
                <w:b/>
                <w:i/>
                <w:color w:val="000000"/>
                <w:sz w:val="18"/>
                <w:lang w:val="en-US" w:eastAsia="en-US" w:bidi="ar-SA"/>
              </w:rPr>
              <w:t>connecting to or using extended services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Relevant terms of the LCP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Latecomer charges will be collected by the City for a period of 10 years from the date of Substantial Completion.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Where a developer provides excess or extended services</w:t>
            </w:r>
            <w:r>
              <w:rPr>
                <w:rFonts w:ascii="arial" w:eastAsia="arial" w:hAnsi="arial" w:cs="arial"/>
                <w:color w:val="000000"/>
                <w:sz w:val="18"/>
                <w:lang w:val="en-US" w:eastAsia="en-US" w:bidi="ar-SA"/>
              </w:rPr>
              <w:t>, the City will, upon acceptance of the design drawings;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determine the proportion of the cost of providing the highway or water, sewerage or drainage facilities </w:t>
      </w:r>
      <w:r>
        <w:rPr>
          <w:rFonts w:ascii="arial" w:eastAsia="arial" w:hAnsi="arial" w:cs="arial"/>
          <w:b/>
          <w:color w:val="000000"/>
          <w:sz w:val="20"/>
          <w:lang w:val="en-US" w:eastAsia="en-US" w:bidi="ar-SA"/>
        </w:rPr>
        <w:t>that it considers constitutes the excess or extended service</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determine which part of the extended service that it considers will benefit each of the parcels of land that will be served by the extended service</w:t>
      </w:r>
      <w:r>
        <w:rPr>
          <w:rFonts w:ascii="arial" w:eastAsia="arial" w:hAnsi="arial" w:cs="arial"/>
          <w:color w:val="000000"/>
          <w:sz w:val="20"/>
          <w:lang w:val="en-US" w:eastAsia="en-US" w:bidi="ar-SA"/>
        </w:rPr>
        <w:t>;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impose, as a condition of an owner </w:t>
      </w:r>
      <w:r>
        <w:rPr>
          <w:rFonts w:ascii="arial" w:eastAsia="arial" w:hAnsi="arial" w:cs="arial"/>
          <w:b/>
          <w:i/>
          <w:color w:val="000000"/>
          <w:sz w:val="20"/>
          <w:lang w:val="en-US" w:eastAsia="en-US" w:bidi="ar-SA"/>
        </w:rPr>
        <w:t>connecting to or using the extended service</w:t>
      </w:r>
      <w:r>
        <w:rPr>
          <w:rFonts w:ascii="arial" w:eastAsia="arial" w:hAnsi="arial" w:cs="arial"/>
          <w:color w:val="000000"/>
          <w:sz w:val="20"/>
          <w:lang w:val="en-US" w:eastAsia="en-US" w:bidi="ar-SA"/>
        </w:rPr>
        <w:t>, a charge related to the benefit determined under paragraph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1.03.6</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 Latecomer charge will not be imposed for excess service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1.03.7</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cost of extended services shall be based on the minimum size of service required to serve the developer's land in accordance with the Subdivision By-Law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1.03.8</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estimated cost of the extended service shall be as determined by the Manager of Engineering Services after due consideration of the submission by the developer and shall be shown on Exhibit 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1.03.12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phased developments, Latecomer charges will be pro-rated to reflect only the area being developed in each phase.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Latecomer charges are payable as a condition of an owner </w:t>
            </w:r>
            <w:r>
              <w:rPr>
                <w:rFonts w:ascii="arial" w:eastAsia="arial" w:hAnsi="arial" w:cs="arial"/>
                <w:b/>
                <w:i/>
                <w:color w:val="000000"/>
                <w:sz w:val="18"/>
                <w:lang w:val="en-US" w:eastAsia="en-US" w:bidi="ar-SA"/>
              </w:rPr>
              <w:t>connecting to or using the extended service</w:t>
            </w:r>
            <w:r>
              <w:rPr>
                <w:rFonts w:ascii="arial" w:eastAsia="arial" w:hAnsi="arial" w:cs="arial"/>
                <w:color w:val="000000"/>
                <w:sz w:val="18"/>
                <w:lang w:val="en-US" w:eastAsia="en-US" w:bidi="ar-SA"/>
              </w:rPr>
              <w:t xml:space="preserve">. In the case of an existing building, this will be at the time of application for a connection. In the case of a parcel being developed, </w:t>
            </w:r>
            <w:r>
              <w:rPr>
                <w:rFonts w:ascii="arial" w:eastAsia="arial" w:hAnsi="arial" w:cs="arial"/>
                <w:b/>
                <w:color w:val="000000"/>
                <w:sz w:val="18"/>
                <w:lang w:val="en-US" w:eastAsia="en-US" w:bidi="ar-SA"/>
              </w:rPr>
              <w:t>this will be at the time of application</w:t>
            </w:r>
            <w:r>
              <w:rPr>
                <w:rFonts w:ascii="arial" w:eastAsia="arial" w:hAnsi="arial" w:cs="arial"/>
                <w:color w:val="000000"/>
                <w:sz w:val="18"/>
                <w:lang w:val="en-US" w:eastAsia="en-US" w:bidi="ar-SA"/>
              </w:rPr>
              <w:t xml:space="preserve"> for a building permit or subdivision, whichever occurs first.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argues that the facts of this case match various definitions in the LCP which entitle it to a Latecomer charge. Specifically, the Plaintiff argues that: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411 Lands are "benefiting lands".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distribution works built by the Plaintiff are an "extended service", not an "excess service".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fit the definition of "Latecomer".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"connect[ed] to or use[d]" the extended services.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Latecomer charge was payable at the time the Defendant Companies applied for a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that a Latecomer charge shall be imposed for extended services, but not for excess services. Clauses 1.03.3 and 1.03.6 distinguish between extended service and excess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Companies argue the following:</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increased capacity which was built on to the Plaintiff's waterworks system was "excess", not "extended".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and the 411 Lands, never connected to or used any of the waterworks built by the Plaintiff.</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411 Lands are not "benefiting lands".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no Latecomer charge is payable.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Latecomer Agreement (LCA)</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Prior to the start of the construction of the waterworks (including construction of </w:t>
      </w:r>
      <w:r>
        <w:rPr>
          <w:rFonts w:ascii="arial" w:eastAsia="arial" w:hAnsi="arial" w:cs="arial"/>
          <w:b/>
          <w:color w:val="000000"/>
          <w:sz w:val="20"/>
          <w:lang w:val="en-US" w:eastAsia="en-US" w:bidi="ar-SA"/>
        </w:rPr>
        <w:t>EES</w:t>
      </w:r>
      <w:r>
        <w:rPr>
          <w:rFonts w:ascii="arial" w:eastAsia="arial" w:hAnsi="arial" w:cs="arial"/>
          <w:color w:val="000000"/>
          <w:sz w:val="20"/>
          <w:lang w:val="en-US" w:eastAsia="en-US" w:bidi="ar-SA"/>
        </w:rPr>
        <w:t xml:space="preserve">) by the Plaintiff, the City advised the Plaintiff that it was prepared to enter into a LCA with the Plaintiff as provided for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Such an agreement would make the Plaintiff eligible to recover some or all of the additional costs which the Plaintiff incurred in constructing the 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signing the LCA, the City advised the Plaintiff that the LCA would be the only way for the Plaintiff to recover the costs from the adjacent land owners, particularly the owners of the 411 Lands, that had been incurred for the construction of the EES portion of the waterworks.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October 16, 1996, the Plaintiff substantially completed the waterworks required under the BWA. This is the date that the LCA became effective. Pursuant to Clause 1.02.4 of the LCP, a Latecomer charge cannot be collected more than ten years after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17, 1996, the calculations were delivered to the City regarding the appropriate Latecomer charge which would be charged by the City under the LCA. The City reviewed and accepted the calculations for the Latecomer charge and incorporated the charges into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December 16, 1996, the City adopted the LCA by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LCA addresses the question of compensation for EES to three different systems which the City required the Plaintiff to build. They are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waterworks system.</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storm system.</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highway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argues that it would not have agreed to build the EES if it had thought that it would not receive a substantial level of compensation under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City allowed the Plaintiff to register a Latecomer charge on those properties which fronted the Subject Lands, that is the lands along Jim Bailey Road and Beaver Lake Road. This included the 411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Relevant provisions of the LCA are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expressions used in this agreement shall be as defined in the City's Subdivision By-Law and Latecomer Policy.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Latecomer charges shall be in accordance with the City's Latecomer Policy.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shall collect from the Latecomers within the benefiting areas, the charges ... </w:t>
      </w:r>
      <w:r>
        <w:rPr>
          <w:rFonts w:ascii="arial" w:eastAsia="arial" w:hAnsi="arial" w:cs="arial"/>
          <w:b/>
          <w:i/>
          <w:color w:val="000000"/>
          <w:sz w:val="20"/>
          <w:lang w:val="en-US" w:eastAsia="en-US" w:bidi="ar-SA"/>
        </w:rPr>
        <w:t>at the time the Latecomer connects to the service</w:t>
      </w:r>
      <w:r>
        <w:rPr>
          <w:rFonts w:ascii="arial" w:eastAsia="arial" w:hAnsi="arial" w:cs="arial"/>
          <w:color w:val="000000"/>
          <w:sz w:val="20"/>
          <w:lang w:val="en-US" w:eastAsia="en-US" w:bidi="ar-SA"/>
        </w:rPr>
        <w:t>. For phased development, the charges will be pro-rated and collected in each phase. The connection of a single family dwelling on a parcel designated for a future higher use shall be considered a special case of a phased development and dealt with in accordance with the Latecomer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Calculation of The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different possible results for the amount of the Latecomer charge owing, if any, depending upon the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Plaintiff first sent its calculations to the City on October 17, 1996, these calculations were accepted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amounts that were accepted at that time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1673"/>
        <w:gridCol w:w="67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water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$240,856</w:t>
            </w:r>
          </w:p>
        </w:tc>
        <w:tc>
          <w:tcPr>
            <w:tcW w:w="665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storm</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$ 41,234</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5"/>
        <w:gridCol w:w="1568"/>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highway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$ 39,793</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$321,883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City has received from the Defendant Companies and paid to the Plaintiff $25,132.80 for the highway Latecomer charge and $12,768.20 for the storm Latecomer charge. When these two sums are subtracted from the total claimed Latecomer charge of $321,883, a balance remains of $283,982. Zero has been paid for the water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claims that $283,982 remains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Companies argue that no Latecomer charge remains owing, but that if a Latecomer charge is owing, the claim must be reduced drastically for two reasons: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the PRV, which benefited only WOCID, was somewhere between one-third and one-half of the total cost. The Defendant Companies have received no benefit from this, and it therefore should not attract a Latecomer charge.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owing should be for the initial phase only, that is, the Building. Only 5% of the amount claimed should be recoverable by Latecomer, because only 5% of the 411 Lands have been developed.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Relevant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will be helpful, at the cost of some repetition, to marshall and review evidence and some submissions relating to the following: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Extended and Excess Services.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 Hydrants.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Storm Sewer.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Extended and Excess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990.(1) For the purposes of this section "excess or extended services" means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portion of a highway system that will provide access to land other than the land being subdivided or developed,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portion of a water, sewage or drainage system that will serve land other than the land being subdivided or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provide any definition which distinguishes between "excess" and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Latecomer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 990(5)) restrict the right of recovery for EES: </w:t>
      </w:r>
      <w:r>
        <w:rPr>
          <w:rFonts w:ascii="arial" w:eastAsia="arial" w:hAnsi="arial" w:cs="arial"/>
          <w:b/>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[2004] 3 S.C.R. 575</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34 B.C.L.R. (4th) 1</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245 D.L.R. (4th) 211</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2004 SCC 75</w:t>
        </w:r>
      </w:hyperlink>
      <w:r>
        <w:rPr>
          <w:rFonts w:ascii="arial" w:eastAsia="arial" w:hAnsi="arial" w:cs="arial"/>
          <w:color w:val="000000"/>
          <w:sz w:val="20"/>
          <w:lang w:val="en-US" w:eastAsia="en-US" w:bidi="ar-SA"/>
        </w:rPr>
        <w:t xml:space="preserve"> ("PNI")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virtue of s. 1.03.6 of the LCP, only extended services can attract a Latecomer charge. Excess services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Therefore, the Plaintiff seeks to have the additional services which it claims to have provided described as extended services. The Defendant Companies seek to have them described as excess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Companies argue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for the circumstances in which a developer can be required to provide EES and the circumstances in which it is to receive reimbursement for some portion of its costs. It must be considered a complete code: </w:t>
      </w:r>
      <w:r>
        <w:rPr>
          <w:rFonts w:ascii="arial" w:eastAsia="arial" w:hAnsi="arial" w:cs="arial"/>
          <w:b/>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237 D.L.R. (4th) 385</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319 N.R. 38</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("Garland") and </w:t>
      </w:r>
      <w:r>
        <w:rPr>
          <w:rFonts w:ascii="arial" w:eastAsia="arial" w:hAnsi="arial" w:cs="arial"/>
          <w:b/>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98 D.L.R. (4th) 140</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12 M.P.L.R. (2d) 229</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144 N.R. 1</w:t>
        </w:r>
      </w:hyperlink>
      <w:r>
        <w:rPr>
          <w:rFonts w:ascii="arial" w:eastAsia="arial" w:hAnsi="arial" w:cs="arial"/>
          <w:color w:val="000000"/>
          <w:sz w:val="20"/>
          <w:lang w:val="en-US" w:eastAsia="en-US" w:bidi="ar-SA"/>
        </w:rPr>
        <w:t xml:space="preserve"> ("Peel").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BWA contains no definition of the words "excess" or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argues that the BWA required extended capacity to be built into the waterworks which would allow for the supply of water to properties other than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VGA contains no definition of the words "excess" or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LCP defines the phrases "excess service" and "extended service"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Excess Service: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means the oversizing built into a highway, water, sewage or drainage system </w:t>
            </w:r>
            <w:r>
              <w:rPr>
                <w:rFonts w:ascii="arial" w:eastAsia="arial" w:hAnsi="arial" w:cs="arial"/>
                <w:i/>
                <w:color w:val="000000"/>
                <w:sz w:val="18"/>
                <w:lang w:val="en-US" w:eastAsia="en-US" w:bidi="ar-SA"/>
              </w:rPr>
              <w:t>in order to</w:t>
            </w:r>
            <w:r>
              <w:rPr>
                <w:rFonts w:ascii="arial" w:eastAsia="arial" w:hAnsi="arial" w:cs="arial"/>
                <w:color w:val="000000"/>
                <w:sz w:val="18"/>
                <w:lang w:val="en-US" w:eastAsia="en-US" w:bidi="ar-SA"/>
              </w:rPr>
              <w:t xml:space="preserve"> provide excess capacity to service properties other than the land being subdivided or developed.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Extended Service: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means a highway, water, sewage or drainage system that is being installed by a developer to service his own property but </w:t>
            </w:r>
            <w:r>
              <w:rPr>
                <w:rFonts w:ascii="arial" w:eastAsia="arial" w:hAnsi="arial" w:cs="arial"/>
                <w:i/>
                <w:color w:val="000000"/>
                <w:sz w:val="18"/>
                <w:lang w:val="en-US" w:eastAsia="en-US" w:bidi="ar-SA"/>
              </w:rPr>
              <w:t>which also extends the immediate capability</w:t>
            </w:r>
            <w:r>
              <w:rPr>
                <w:rFonts w:ascii="arial" w:eastAsia="arial" w:hAnsi="arial" w:cs="arial"/>
                <w:color w:val="000000"/>
                <w:sz w:val="18"/>
                <w:lang w:val="en-US" w:eastAsia="en-US" w:bidi="ar-SA"/>
              </w:rPr>
              <w:t xml:space="preserve"> of being serviced to other adjacent or abutting properties.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LCA does not expressly contain a definition of either of the terms, but indicates that the "terms and expressions ... shall be as defined in the ... Latecomer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City argues that the fire hydrants installed by the Plaintiff are required to provide fire protection for part of the Subject Lands. Although they are also physically situated so as to provide a water supply for the 411 Lands, and therefore meet the definition of "excess service" in the LCP benefiting adjacent lands, they also provide a benefit to the Subject Lands. Therefore, they fit the definition of "extended service"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argues that the City required the Plaintiff to pay for the costs of the waterworks which were required to be built, including the EES, as a condition of its approval of the Plaintiff's rezoning application. Each party gave consideration to the other and for the purpose of receiving the others' consideration. It is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argues that it did not need the </w:t>
      </w:r>
      <w:r>
        <w:rPr>
          <w:rFonts w:ascii="arial" w:eastAsia="arial" w:hAnsi="arial" w:cs="arial"/>
          <w:b/>
          <w:color w:val="000000"/>
          <w:sz w:val="20"/>
          <w:lang w:val="en-US" w:eastAsia="en-US" w:bidi="ar-SA"/>
        </w:rPr>
        <w:t>EES</w:t>
      </w:r>
      <w:r>
        <w:rPr>
          <w:rFonts w:ascii="arial" w:eastAsia="arial" w:hAnsi="arial" w:cs="arial"/>
          <w:color w:val="000000"/>
          <w:sz w:val="20"/>
          <w:lang w:val="en-US" w:eastAsia="en-US" w:bidi="ar-SA"/>
        </w:rPr>
        <w:t xml:space="preserve"> for its own project. It only needed waterworks sufficient to service the Subject Lands. It only agreed to build the EES because it was lead to believe, by the City, that it would be compensated for this by payment of a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Companies argue, to the contrary, that the waterworks did benefit the Plaintiff, and only incidentally might have been of benefit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City also argues that the waterworks benefited the Plaintiff in the sense that the Plaintiff would not have been successful in its rezoning application but for its agreement to provide and pay for the EES. This was the consideration that the City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City argues that the Plaintiff undertook to provide the EES under the VGA and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the City's bylaws. It did not provide the EES as a result of any representations made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 Companies argue that both the Plaintiff and the City were well aware that the </w:t>
      </w:r>
      <w:r>
        <w:rPr>
          <w:rFonts w:ascii="arial" w:eastAsia="arial" w:hAnsi="arial" w:cs="arial"/>
          <w:b/>
          <w:color w:val="000000"/>
          <w:sz w:val="20"/>
          <w:lang w:val="en-US" w:eastAsia="en-US" w:bidi="ar-SA"/>
        </w:rPr>
        <w:t>EES</w:t>
      </w:r>
      <w:r>
        <w:rPr>
          <w:rFonts w:ascii="arial" w:eastAsia="arial" w:hAnsi="arial" w:cs="arial"/>
          <w:color w:val="000000"/>
          <w:sz w:val="20"/>
          <w:lang w:val="en-US" w:eastAsia="en-US" w:bidi="ar-SA"/>
        </w:rPr>
        <w:t xml:space="preserve"> would not benefit the Defendant Companies, because: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would be unable to obtain the supply of water from WOCID for the 411 Lands, and therefore, the Plaintiff knew that it would not be able to obtain the water.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Latecomers (the Defendant Companies) had other available water, which would allow the Defendant Companies to not connect to or use the Plaintiff's waterworks.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Fire Hydrants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argues that the City required that increased capacity (EES) be built into the waterworks, which would allow for the supply of water to property other than the Subject Lands. The City required it because WOCID required it. They both recognized that there would be growth taking place in the industrial areas in the City and that increased capacity could be used for future customers adjacent to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increased capacity included the installation of additional fire hydrants. It is a matter of contention whether or not these fire hydrants would have been required for any purpose other than the Subject Lands. The Plaintiff maintains that they were required to service the 411 Lands, and that if the Plaintiff were building only for its benefit, without any requirement to provide excess or extended services, then it would not have had to build the fire hydrants.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City maintains that the Plaintiff would have still had to build and pay for the hydrants, because otherwise the Plaintiff would not have achieved the rezoning of the property. The City further maintains that, in addition to the requirements of the VGA and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water service extensions were also required under the subdivision bylaw. A City engineer has deposed that the waterworks were required under the subdivision bylaw regardless of whether anyone developed the adjacent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Companies argue that the fire hydrants were never intended to service the 411 Lands. If they had been so intended, then surely the 411 Lands would have been expressly referred to in the BWA. However, the BWA only refers to the first and second supply areas; the 411 Lands are in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argues that, aside from domestic water supply, the Latecomer charge also addresses fire protection. The City does not require the Defendant Companies to use the fire hydrants which were built by the Plaintiff for fire protection purposes. The reason why the City does not require the 411 Lands to use the hydrants is that the Building on the 411 Lands is located less than 50 metres from the Riverside Hydrant.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Riverside Hydrant was not built by the Plaintiff. It pre-existed the Plaintiff's waterworks. It also pre-existed the signing of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are two contentious issues surrounding the Riverside Hydrant:</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connected to the Riverside Hydrant, or to a portion of it, was the Hydrant upgraded, and if so, to what extent? Alternatively, was it upgraded by anything that the Plaintiff did, at any time?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that the Plaintiff has contributed to the upgrade of the Riverside Hydrant, since the Defendant Companies used the Riverside Hydrant for fire protection, can they be said to be "connecting to or using" the Plaintiff's system pursuant to subsection 990(5)(c)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and/or pursuant to clause 103.3(c) of the LCP?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These points of contention are crucial. It is arguable that the question of whether or not the Defendant Companies connected to or used the Plaintiff's system by virtue of using an upgraded Riverside Hydrant may be determinative, by virtue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and/or the LCP, of the question of whether or not a Latecomer fee is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arguments and evidence with respect to the Riverside Hydrant are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waterworks were connected to the Riverside Hydrant;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construction of its waterworks, the Plaintiff was advised by WOCID that it had to connect the water main running parallel to the Beaver Lake Road to the Riverside Hydrant;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Defendant Companies rely upon the Riverside Hydrant, they are therefore connected to the Plaintiff's system;</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engineer with Pace, hired on behalf of the Plaintiff, deposed that he was present at the December 14, 2000 meeting, and that the Plaintiff's water main is connected to the Riverside Hydrant. He also deposed that: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this connection increased the capacity of the Riverside Hydrant. I do not understand the City's subsequent conclusion that there was no upgrading of the Riverside Hydrant by Beaver Lake.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 also deposed that the Riverside Hydrant was not capable of providing the quantity of water per minute for fire flow that it subsequently provided after the hook-up, without the interconnection provided for during the construction of the waterworks for the Plaintiff.</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hand, at an examination for discovery on April 3, 2003, the same engineer answered certain questions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already told me that you didn't do any work on what we have called the Riverside Hydrant?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Riverside Hydrant was already installed.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I asked you whether you had done any work or whether the Plaintiff had done any work to your knowledge, west of connection, the stub end, the previous stub end connection, and I thought your answer was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we didn't do any work. That is where we tied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concerned, at the December 14, 2000 meeting, with the issue of whether or not the Riverside Hydrant had been upgraded or changed by the Plaintiff's waterworks.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the City and the Defendant Companies proceeded on the basis that there was no connection to or use of the system built by the Plaintiff and that no water Latecomer charge was payable. The City approved the Defendant Companies' application for a building permit on this basis.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February 2, 2001 letter to the Plaintiff, the City noted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Fire protection is from a fire hydrant on the north side of Beaver Lake Road opposite Jim Bailey Road. This is an existing fire hydrant and not installed as a result of Beaver Lake industrial park development. However, there were indications that this fire hydrant was upgraded as a result of the Beaver Lake industrial park development. In reviewing the design, drawings and the calculations used to derive the Latecomer Agreement, there is no clear indication that this fire hydrant is in fact a part of the Latecomer Agreement. Based on this, no water Latecomer costs are due as a result of the development activities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there is some evidence to the contrary, I am satisfied on a consideration of all of the evidence, of the following:</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Riverside Hydrant was not upgraded by the Plaintiff, or the Plaintiff's system or work.</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Riverside Hydrant by the Defendant Companies was not, and is not, a connection to or use of the Plaintiff's system, nor of any excess or extended service provided by the Plaintiff through the Riverside Hydrant.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October 2004, the City changed its mind about the sufficiency of the Riverside Hydrant. It now concluded that the fire flow from the Riverside Hydrant was insufficient to meet one of the two requirements for fire flow under the subdivision bylaw. On October 13, 2004, counsel for the City demanded payment of the water Latecomer from the Defendant Companies, acknowledging that it had made a mistake, and that the 411 Lands did, after all, have to rely on the hydrants constructed by the Plaintiff on Beaver Lake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City maintains that it had originally accepted that the Defendant Companies could satisfy the fire flow requirements for their proposed development of the 411 Lands from the Riverside Hydrant, and therefore not be subject to a Latecomer charge, on the basis of information provided by the Defendant Companies' themselves, through their engineering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Companies argue as follows: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successfully argued at the meeting of December 14, 2000, that they are not required to pay the Latecomer charge because: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domestic water supply came from the Well;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could rely upon the Riverside Hydrant for fire protection.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gave approval for the Defendant Companies' Building on the basis of the foregoing.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had the right to do this.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would not have proceeded if they had not received this approval.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2004, the City changed its mind about the sufficiency of fire flow from the Riverside Hydrant.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letter of October 2004, the City advised the Defendant Companies that they must either: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for a variance of the bylaw requirements;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 on the Plaintiff's fire hydrants and pay a Latecomer charge after all.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the water provided under the BWA does not meet the bylaw requirements.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original approval and granting of the building permit was in no way based upon the Plaintiff's system or upon the Defendant Companies relying on any part of the Plaintiff's system, including the fire hydrants.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never sought to rely on any of the Plaintiff's hydrants for any purpose, including complying with the fire flow requirements of the bylaw.</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being asked to force the Defendant Companies to hook up to the Plaintiff's hydrants.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Defendant Companies want to rely upon the Plaintiff's hydrants, it cannot be done because the City has no right to supply the water under the BWA.</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hydrants benefited the Plaintiff, as well as other potential adjacent properties, and would have been built even if the 411 Lands were never developed.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Storm Sewer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argues that it is entitled to receive $41,234 for a storm Latecomer charge from the City. The City initially accepted this amount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February 2, 2001, the City delivered its decision to the Plaintiff, concluding that a Latecomer charge under the LCA did not apply with respect to water, and that it should be reduced with respect to highway and storm. The City reduced the amount to $12,768.20, which has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claims that the balance of $28,465.80 is still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argues that the City acted arbitrarily and unilaterally in reducing the storm Latecomer charge which it had initially agreed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City argues that it did not act arbitrarily or unilaterally. Rather, it convened a meeting, which was held on December 14, 2000 with interested parties, including the Plaintiff, and heard what each had to say before making a determination. The reduced amount for the storm Latecomer charge was based upon the new considerations and evidence, which were discussed at the meeting of December 14, 2000. These new considerations included an expert report commissioned by the Defendant Companies which suggested that the entire amount of the storm Latecomer charge which had been proposed was inappropriate because the entire amount of the system did not benefit the 411 Lands. The new information suggested that some of the Plaintiff's so-called improvements would </w:t>
      </w:r>
      <w:r>
        <w:rPr>
          <w:rFonts w:ascii="arial" w:eastAsia="arial" w:hAnsi="arial" w:cs="arial"/>
          <w:i/>
          <w:color w:val="000000"/>
          <w:sz w:val="20"/>
          <w:lang w:val="en-US" w:eastAsia="en-US" w:bidi="ar-SA"/>
        </w:rPr>
        <w:t>increase</w:t>
      </w:r>
      <w:r>
        <w:rPr>
          <w:rFonts w:ascii="arial" w:eastAsia="arial" w:hAnsi="arial" w:cs="arial"/>
          <w:color w:val="000000"/>
          <w:sz w:val="20"/>
          <w:lang w:val="en-US" w:eastAsia="en-US" w:bidi="ar-SA"/>
        </w:rPr>
        <w:t xml:space="preserve"> the cost of developing the 411 Lands. It was on the basis of this new information that the storm Latecomer charge was reduced by the City as noted in its letter of February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modified storm Latecomer charge has been 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seeks a Declaration, which if granted, renders all of the other claims of the Plaintiff unnecessary. Consequently, they are advanced as alternative claims. Those claims are:</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LCA.</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the Latecomer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makes this claim against the City only, and not against the Defendant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argues as follows: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LCA is a contract between the Plaintiff and the City.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are not parties to the LCA.</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breached that contract, entitling the Plaintiff to damages. The amount of damages is the amount of the Latecomer charge to which it is entitled under the contract.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not have agreed to build the EES if not for the promise of compensation under the LCA.</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had allowed the Plaintiff to register a Latecomer charge on various lands.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an agent for the Plaintiff, who had agreed to collect the Latecomer charge. It is an implied term of the LCA that the City was not to take any steps which might undermine the terms and conditions of the contract.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failed to comply with and enforce the LCA, and ultimately to collect the Latecomer charge, as required by the contract.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1.04.6 of the LCP indicates that the Latecomer charge was payable upon the Defendant Companies' application for the building permit. The Plaintiff argues that this was mandatory on the part of the City. It had no power or right to grant the building permit to the Defendant Companies without ensuring that the Latecomer fee was protected. It had an implied duty to not grant the building permit until the Latecomer fee was provided.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LCA will expire after ten years - October 16, 2006. The Plaintiff has never received any Latecomer fee, solely because the City has failed to fulfil its statutory functions and contractual duty, and has continued to allow the Well and the Riverside Hydrant to be used on the 411 Lands, with the result that the Defendant Companies have successfully avoided using the Plaintiff's system.</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of the Plaintiff's waterworks to the Riverside Hydrant represented an upgrade of that hydrant which the Defendant Companies connected to and used.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finally demanded payment of a Latecomer fee from the Defendant Companies. However, the City has done nothing else to collect Latecomer fees.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provision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or the LCP for "phasing" or for a partial Latecomer charge, is not applicable in this case. The Defendant Companies argue that a partial payment is appropriate because only 5% of the property has been built upon, and because "phasing" is permissible. The Plaintiff argues that it is not permissible in this case because no pre-arranged plan and/or schedule for phasing has ever been set up or arranged. The concept of phasing is inapplicable to this case.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of the storm Latecomer charge was arbitrary and contrary to the terms of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have concluded that the LCA is a contract between the Plaintiff and the City. The argument that it does not contractually bind the City is rejected, although the City also has a statutory obligation to invoke a Latecomer regime, and has no discretion in fulfilling that responsibility. Nevertheless, the City is bound to comply with the terms of an LCA that it enters into, even though the Latecomer regime itself is mandated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the City has not breached any of the terms of the LCA, and therefore has not breached any of its contractual obligations to the Plaintiff. My reasons for arriving at this conclusion are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LCA, the City did not guarantee a Latecomer fee to the Plaintiff. The City never promised that it could or would recover a Latecomer fee. All of the correspondence and agreements merely refer to the Plaintiff being eligible.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well aware of the terms of the BWA when it decided to proceed with its project on the Subject Lands. Knowledge of those terms could not have led the Plaintiff to any other conclusion but that the 411 Lands were not within either supply area referred to in the BWA, and that therefore, the City had no legal right or power to allow water to flow through the Plaintiff's system to the 411 Lands.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moved ahead with its project knowing the cost of the waterworks system, and never being promised or assured that it would recover a Latecomer charge. It may well have hoped that it would, but there was never any certainty that it would. Despite this, and despite the expense, the Plaintiff made a profit of over $750,000 on the entire subdivision project.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had a legal opinion which advised that the City could not withhold the Defendant Companies' building permit on the basis that the Latecomer charge was in dispute. In other words, the City acted in good faith throughout.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have had to pay every penny that it did pay, with or without the LCA. This was the agreement, evidenced by the VGA. If the Plaintiff had refused to pay, then it simply would not have had received its rezoning.</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have had to pay for everything in any event because that was the requirement of WOCID. Without WOCID's approval, there was no water. Without water, there was no rezoning.</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expenses would have been incurred even if the 411 Lands had never materialized as a potential source of a Latecomer fee.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decision to let the Defendant Companies use alternate sources of water (the Well and the Riverside Hydrant), was the City's legal obligation: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considered it unjustifiable that DLC had tried to impose the entire cost of a new reservoir on the 411 Lands (seeking one million dollars);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does not have untrammelled discretion when dealing with applicants. Both the Plaintiff and the Defendant Companies deserved fair treatment from the City.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approval of the use of the Well was an appropriate exercise of discretion under the subdivision bylaw, considering the following:</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unreasonable DLC demand;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prospect of a different development and water source in the foreseeable future at a different nearby site;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connection to the Plaintiff's system was necessary.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determined that the Defendant Companies did not connect to or use the Plaintiff's system through the Riverside Hydrant.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did not act arbitrarily or unilaterally in reducing the storm Latecomer charge. To the contrary, it held a meeting on December 14, 2000, where it heard all interested parties, including the Plaintiff, before a determination was made. The contract required nothing more.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makes this claim against the City only, and not against the Defendant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test for negligent misrepresentation is set out in the leading case of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14 C.C.L.T. (2d) 113</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147 N.R. 169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representor and representee.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representation.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relied, in a reasonable manner on the negligent misrepresentation.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There is precedent for the concept of imposing a duty of care on a municipality: </w:t>
      </w:r>
      <w:r>
        <w:rPr>
          <w:rFonts w:ascii="arial" w:eastAsia="arial" w:hAnsi="arial" w:cs="arial"/>
          <w:b/>
          <w:i/>
          <w:color w:val="000000"/>
          <w:sz w:val="20"/>
          <w:lang w:val="en-US" w:eastAsia="en-US" w:bidi="ar-SA"/>
        </w:rPr>
        <w:t>Wozniak v. Erin (Town)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(2001), 20 M.P.L.R. (3d) 59</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case at bar, the Plaintiff argues that a special relationship giving rise to a duty of care exists between the City and the Plaintiff for the following reasons: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aware of all the difficulties involved in obtaining a supply of water; the Plaintiff was not.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none of the inside knowledge that the City had about the difficulty of delivering water to the 411 Lands.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to rely upon the City to collect the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further argues: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made representations that the Plaintiff would be entitled to a Latecomer fee, and that the City would collect it on behalf of the Plaintiff; such representations were inaccurate and misleading.</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the representations were misleading, and the reasons why the City was negligent in making the representations, are as follows: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well aware, and had been aware for a long time, of the difficulties involved in delivering water to the 411 Lands, including that it had no legal right to do so. It was negligent in not providing appropriate information to the Plaintiff that would convey the difficulties that existed;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well aware, and had been for a long time, that the potential existed for other sources of water for the 411 Lands. It was negligent in not conveying this important information to the Plaintiff;</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intended and knew, or ought to have known, that the Plaintiff would rely on its representations and be induced by them to enter into the LCA.</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in a reasonable manner on the City's negligent misrepresentation. This reliance is deposed to in the affidavit of the principal of the Plaintiff.</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reliance on the City's representations have been detrimental to the Plaintiff. The Plaintiff has suffered damages as the City required it to build additional infrastructure for which the Plaintiff has not received any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have been referred to </w:t>
      </w:r>
      <w:r>
        <w:rPr>
          <w:rFonts w:ascii="arial" w:eastAsia="arial" w:hAnsi="arial" w:cs="arial"/>
          <w:b/>
          <w:i/>
          <w:color w:val="000000"/>
          <w:sz w:val="20"/>
          <w:lang w:val="en-US" w:eastAsia="en-US" w:bidi="ar-SA"/>
        </w:rPr>
        <w:t>Koolman v. Hashka</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[1999] B.C.J. No. 886</w:t>
        </w:r>
      </w:hyperlink>
      <w:r>
        <w:rPr>
          <w:rFonts w:ascii="arial" w:eastAsia="arial" w:hAnsi="arial" w:cs="arial"/>
          <w:color w:val="000000"/>
          <w:sz w:val="20"/>
          <w:lang w:val="en-US" w:eastAsia="en-US" w:bidi="ar-SA"/>
        </w:rPr>
        <w:t xml:space="preserve"> (S.C.) ("Koolman"). In that case, the test for negligent reliance is set out as follows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establish negligent misrepresentation, the Court of Appeal in </w:t>
      </w:r>
      <w:r>
        <w:rPr>
          <w:rFonts w:ascii="arial" w:eastAsia="arial" w:hAnsi="arial" w:cs="arial"/>
          <w:b/>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summarized the requirements as follows: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on the person making the statement to the recipient which does not arise unless: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the statement would know that the recipient is relying upon his skill or judgment.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statement by the recipient.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Koolman</w:t>
      </w:r>
      <w:r>
        <w:rPr>
          <w:rFonts w:ascii="arial" w:eastAsia="arial" w:hAnsi="arial" w:cs="arial"/>
          <w:color w:val="000000"/>
          <w:sz w:val="20"/>
          <w:lang w:val="en-US" w:eastAsia="en-US" w:bidi="ar-SA"/>
        </w:rPr>
        <w:t>, the plaintiff had conversations with the representative of the defendant district about zoning and restrictions. The response was inaccurate, and the plaintiff testified that the response was relied upon, and that damages resulted. The plaintiff's case was dismissed because of the court's conclusion that a duty of care did not arise in the absence of circumstances establishing that a reasonable person making such a statement would know that its recipient was relying upon his skill or judgment, and also because of the court's inability to conclude that the plaintiff had been reasonable in relying on the defendant's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paragraph 34, the court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relation to those latter two factors, in my view, it is a substantial leap from a question concerning restrictions, the response to which may have led to a further inquiry by the plaintiffs concerning flooding. There is, in my opinion, no nexus or connection between the questions to and answers given and the necessity that the plaintiffs prove that the representatives of the District of Langford knew that the plaintiffs were relying on their skill or judgment in terms of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view, the Plaintiff's claim for negligent misrepresentation must fail. My reasons for arriving at this conclusion are as follows: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rely upon the reasoning in </w:t>
      </w:r>
      <w:r>
        <w:rPr>
          <w:rFonts w:ascii="arial" w:eastAsia="arial" w:hAnsi="arial" w:cs="arial"/>
          <w:b/>
          <w:i/>
          <w:color w:val="000000"/>
          <w:sz w:val="20"/>
          <w:lang w:val="en-US" w:eastAsia="en-US" w:bidi="ar-SA"/>
        </w:rPr>
        <w:t>Koolman</w:t>
      </w:r>
      <w:r>
        <w:rPr>
          <w:rFonts w:ascii="arial" w:eastAsia="arial" w:hAnsi="arial" w:cs="arial"/>
          <w:color w:val="000000"/>
          <w:sz w:val="20"/>
          <w:lang w:val="en-US" w:eastAsia="en-US" w:bidi="ar-SA"/>
        </w:rPr>
        <w:t>. In my view, it was not reasonable for the Plaintiff to have relied upon any discussion with the City about a Latecomer charge being more than just a discussion, and unreasonable to elevate such discussion to the level of a promise or guarantee. The evidence also does not establish that the City, or any of its employees, would have known that the Plaintiff was relying upon discussion about a Latecomer charge to the extent of elevating it beyond mere possibility. It follows that a duty of care did not arise in this case.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misrepresentation at all. The requirement to enter into the LCA arose out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did not constitute a representation to the Plaintiff that it would recover any of the costs of services which were characterized as extended services. The Plaintiff was told there was an opportunity for recovering a Latecomer charge, but was never told that it would certainly recover them.</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rely upon the City's comments. Alternatively, if it did so, it was unreasonable to do so. The Plaintiff made its own fully informed decision: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its own engineer which provided it with advice;</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received a copy of the BWA, before it was signed, which identified the areas to be supplied. If the Plaintiff's principal did not appreciate the significance of the various provisions of the BWA addressing the lands to be supplied, that is unfortunate, but any fault for that lack of understanding cannot be the responsibility of the City;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 development that it wished to proceed with. Its motive for proceeding was profit. Subsequent events establish that it succeeded. A profit in excess of $750,000 was made;</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was required not only by the BWA, but by the relevant bylaws.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City was aware that the potential for a Well existed on the 411 Lands, it was not the option that the City was pursuing or that the City thought would be the likely result. The City was interested in pursuing the BWA. In these circumstances, there was no duty to inform the Plaintiff of this other possibility that the City was not even seeking.</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from which the Court can infer that the City's representatives would have realized that the Plaintiff was placing reliance on anything the City said beyond the extent that one might reasonably expect from general inquiries or discussion.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makes this claim against the City only, and not against the Defendant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argues as follows: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generally asserted that a municipality does not owe a fiduciary duty to the taxpayers, however, it is submitted that where the parties entered into a contract, a fiduciary duty does arise: </w:t>
      </w:r>
      <w:r>
        <w:rPr>
          <w:rFonts w:ascii="arial" w:eastAsia="arial" w:hAnsi="arial" w:cs="arial"/>
          <w:b/>
          <w:i/>
          <w:color w:val="000000"/>
          <w:sz w:val="20"/>
          <w:lang w:val="en-US" w:eastAsia="en-US" w:bidi="ar-SA"/>
        </w:rPr>
        <w:t>Mushka v. Candle Lake (Resort Village)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(2003), 233 Sask.R. 246</w:t>
        </w:r>
      </w:hyperlink>
      <w:r>
        <w:rPr>
          <w:rFonts w:ascii="arial" w:eastAsia="arial" w:hAnsi="arial" w:cs="arial"/>
          <w:color w:val="000000"/>
          <w:sz w:val="20"/>
          <w:lang w:val="en-US" w:eastAsia="en-US" w:bidi="ar-SA"/>
        </w:rPr>
        <w:t xml:space="preserve"> at paragraph 30, </w:t>
      </w:r>
      <w:hyperlink r:id="rId18" w:history="1">
        <w:r>
          <w:rPr>
            <w:rFonts w:ascii="arial" w:eastAsia="arial" w:hAnsi="arial" w:cs="arial"/>
            <w:i/>
            <w:color w:val="0077CC"/>
            <w:sz w:val="20"/>
            <w:u w:val="single"/>
            <w:shd w:val="clear" w:color="auto" w:fill="FFFFFF"/>
            <w:lang w:val="en-US" w:eastAsia="en-US" w:bidi="ar-SA"/>
          </w:rPr>
          <w:t>37 M.P.L.R. (3d) 90</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2003 SKQB 147</w:t>
        </w:r>
      </w:hyperlink>
      <w:r>
        <w:rPr>
          <w:rFonts w:ascii="arial" w:eastAsia="arial" w:hAnsi="arial" w:cs="arial"/>
          <w:color w:val="000000"/>
          <w:sz w:val="20"/>
          <w:lang w:val="en-US" w:eastAsia="en-US" w:bidi="ar-SA"/>
        </w:rPr>
        <w:t xml:space="preserve"> ("Mushka").</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agreeing to collect the Latecomer charge, the City agreed to act as the agent of the Plaintiff. As the Plaintiff's agent, the City owed the Plaintiff a fiduciary duty to administer and enforce the LCA in good faith. In particular, the City owed a duty to the Plaintiff to:</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assist or otherwise allow for or provide another source of water for a Latecomer;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take any steps which would undermine the terms and conditions of the LCA.</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648, </w:t>
      </w:r>
      <w:hyperlink r:id="rId19"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44 B.L.R. 1</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101 N.R. 239</w:t>
        </w:r>
      </w:hyperlink>
      <w:r>
        <w:rPr>
          <w:rFonts w:ascii="arial" w:eastAsia="arial" w:hAnsi="arial" w:cs="arial"/>
          <w:color w:val="000000"/>
          <w:sz w:val="20"/>
          <w:lang w:val="en-US" w:eastAsia="en-US" w:bidi="ar-SA"/>
        </w:rPr>
        <w:t xml:space="preserve"> ("Lac Minerals") La Forest J. approved of the following comments: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must be shown, in the writer's view, is that the actual circumstances of a relationship are such that one party is entitled to expect that the other will act in his interests in and for the purposes of the relationship. Ascendancy, influence, vulnerability, trust, confidence or dependence doubtless will be of importance in making this out. But they will be important only to the extent that they evidence a relationship suggesting that entitlement. The critical matter in the end is the role that the alleged fiduciary has, or should be taken to have, in the relationship. It must be to implicate that party in the other's affairs or so align him with the protection or advancement of that other's interests that foundation exists for the "fiduciary expectation." Such a role may generate an actual expectation that other's interests are being served.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p. 645, quoting from a prior case: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sometimes said that the nature of fiduciary relationships is both established and exhausted by the standard categories of agent, trustee, partner, director, and the like. I do not agree. It is the nature of the relationship, not the specific category of actor involved that gives rise to the fiduciary duty. The categories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question of fact in each case whether the relationship of the parties, one to the other, is such as to create a fiduciary relationship: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at p. 648.</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LCP and the LCA, indicate that the City is responsible for determining, imposing and collecting the Latecomer charge.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LCA, the Plaintiff is wholly dependent upon the City, which has rights and powers which it is bound to exercise for the benefit of the Plaintiff. The Plaintiff has no ability to collect the Latecomer charge other than through the City.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entered into the LCA in 1996 with the City. In 2001, the City unilaterally rejected the calculations, that it had previously agreed to, and exercised its discretion to determine that the storm Latecomer charge was not as set out in the LCA.</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City represent an exercise of its power which negatively affected the Plaintiff's interests and is a breach of the fiduciary duty it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the Plaintiff's claim for breach of fiduciary duty must fail. My reasons for arriving at this conclusion are as follows: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 City did not owe a fiduciary duty to the Plaintiff, nor did it agree to act as the Plaintiff's agent. It did no more than agree to fulfill its statutory obligations and the contractual terms of the LCA. While these are both weighty responsibilities, they cannot be elevated, in the circumstances of this case, to the level of fiduciary duty.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Characterizing the City's role as one of a fiduciary ignores the statutory and bylaw context of the situation and the fact that the City had other parties' interests to take into consideration. It could not sacrifice the legitimate interests of the Defendant Companies, potentially subject to a Latecomer charge, in favour of the interests of the Plaintiff. Attaching fiduciary duties to government bodies that owe duties to their citizens has been characterized as inappropriate: </w:t>
      </w:r>
      <w:r>
        <w:rPr>
          <w:rFonts w:ascii="arial" w:eastAsia="arial" w:hAnsi="arial" w:cs="arial"/>
          <w:b/>
          <w:i/>
          <w:color w:val="000000"/>
          <w:sz w:val="20"/>
          <w:lang w:val="en-US" w:eastAsia="en-US" w:bidi="ar-SA"/>
        </w:rPr>
        <w:t>Apex Mountain Resort v. B.C.</w:t>
      </w:r>
      <w:hyperlink r:id="rId20" w:history="1">
        <w:r>
          <w:rPr>
            <w:rFonts w:ascii="arial" w:eastAsia="arial" w:hAnsi="arial" w:cs="arial"/>
            <w:i/>
            <w:color w:val="0077CC"/>
            <w:sz w:val="20"/>
            <w:u w:val="single"/>
            <w:shd w:val="clear" w:color="auto" w:fill="FFFFFF"/>
            <w:lang w:val="en-US" w:eastAsia="en-US" w:bidi="ar-SA"/>
          </w:rPr>
          <w:t>(2000), 50 C.C.L.T. (2d) 123</w:t>
        </w:r>
      </w:hyperlink>
      <w:r>
        <w:rPr>
          <w:rFonts w:ascii="arial" w:eastAsia="arial" w:hAnsi="arial" w:cs="arial"/>
          <w:color w:val="000000"/>
          <w:sz w:val="20"/>
          <w:lang w:val="en-US" w:eastAsia="en-US" w:bidi="ar-SA"/>
        </w:rPr>
        <w:t xml:space="preserve"> at paragraph 346, </w:t>
      </w:r>
      <w:hyperlink r:id="rId20" w:history="1">
        <w:r>
          <w:rPr>
            <w:rFonts w:ascii="arial" w:eastAsia="arial" w:hAnsi="arial" w:cs="arial"/>
            <w:i/>
            <w:color w:val="0077CC"/>
            <w:sz w:val="20"/>
            <w:u w:val="single"/>
            <w:shd w:val="clear" w:color="auto" w:fill="FFFFFF"/>
            <w:lang w:val="en-US" w:eastAsia="en-US" w:bidi="ar-SA"/>
          </w:rPr>
          <w:t>5 B.L.R. (3d) 255</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2000 BCSC 907</w:t>
        </w:r>
      </w:hyperlink>
      <w:r>
        <w:rPr>
          <w:rFonts w:ascii="arial" w:eastAsia="arial" w:hAnsi="arial" w:cs="arial"/>
          <w:color w:val="000000"/>
          <w:sz w:val="20"/>
          <w:lang w:val="en-US" w:eastAsia="en-US" w:bidi="ar-SA"/>
        </w:rPr>
        <w:t xml:space="preserve"> ("Apex"), aff'd (2001), 91 B.C.L.R. ((3d) 60, </w:t>
      </w:r>
      <w:hyperlink r:id="rId21" w:history="1">
        <w:r>
          <w:rPr>
            <w:rFonts w:ascii="arial" w:eastAsia="arial" w:hAnsi="arial" w:cs="arial"/>
            <w:i/>
            <w:color w:val="0077CC"/>
            <w:sz w:val="20"/>
            <w:u w:val="single"/>
            <w:shd w:val="clear" w:color="auto" w:fill="FFFFFF"/>
            <w:lang w:val="en-US" w:eastAsia="en-US" w:bidi="ar-SA"/>
          </w:rPr>
          <w:t>204 D.L.R. (4th) 176</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6 C.C.L.T. (3d) 157</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2001 BCCA 479</w:t>
        </w:r>
      </w:hyperlink>
      <w:r>
        <w:rPr>
          <w:rFonts w:ascii="arial" w:eastAsia="arial" w:hAnsi="arial" w:cs="arial"/>
          <w:color w:val="000000"/>
          <w:sz w:val="20"/>
          <w:lang w:val="en-US" w:eastAsia="en-US" w:bidi="ar-SA"/>
        </w:rPr>
        <w: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in British Columbia is as noted in </w:t>
      </w:r>
      <w:r>
        <w:rPr>
          <w:rFonts w:ascii="arial" w:eastAsia="arial" w:hAnsi="arial" w:cs="arial"/>
          <w:b/>
          <w:i/>
          <w:color w:val="000000"/>
          <w:sz w:val="20"/>
          <w:lang w:val="en-US" w:eastAsia="en-US" w:bidi="ar-SA"/>
        </w:rPr>
        <w:t>Apex</w:t>
      </w:r>
      <w:r>
        <w:rPr>
          <w:rFonts w:ascii="arial" w:eastAsia="arial" w:hAnsi="arial" w:cs="arial"/>
          <w:color w:val="000000"/>
          <w:sz w:val="20"/>
          <w:lang w:val="en-US" w:eastAsia="en-US" w:bidi="ar-SA"/>
        </w:rPr>
        <w:t xml:space="preserve">. The Plaintiff argues that </w:t>
      </w:r>
      <w:r>
        <w:rPr>
          <w:rFonts w:ascii="arial" w:eastAsia="arial" w:hAnsi="arial" w:cs="arial"/>
          <w:b/>
          <w:i/>
          <w:color w:val="000000"/>
          <w:sz w:val="20"/>
          <w:lang w:val="en-US" w:eastAsia="en-US" w:bidi="ar-SA"/>
        </w:rPr>
        <w:t>Mushka</w:t>
      </w:r>
      <w:r>
        <w:rPr>
          <w:rFonts w:ascii="arial" w:eastAsia="arial" w:hAnsi="arial" w:cs="arial"/>
          <w:color w:val="000000"/>
          <w:sz w:val="20"/>
          <w:lang w:val="en-US" w:eastAsia="en-US" w:bidi="ar-SA"/>
        </w:rPr>
        <w:t xml:space="preserve"> can be interpreted in a way which is inconsistent with </w:t>
      </w:r>
      <w:r>
        <w:rPr>
          <w:rFonts w:ascii="arial" w:eastAsia="arial" w:hAnsi="arial" w:cs="arial"/>
          <w:b/>
          <w:i/>
          <w:color w:val="000000"/>
          <w:sz w:val="20"/>
          <w:lang w:val="en-US" w:eastAsia="en-US" w:bidi="ar-SA"/>
        </w:rPr>
        <w:t>Apex</w:t>
      </w:r>
      <w:r>
        <w:rPr>
          <w:rFonts w:ascii="arial" w:eastAsia="arial" w:hAnsi="arial" w:cs="arial"/>
          <w:color w:val="000000"/>
          <w:sz w:val="20"/>
          <w:lang w:val="en-US" w:eastAsia="en-US" w:bidi="ar-SA"/>
        </w:rPr>
        <w:t xml:space="preserve">. If this is the case, wherever </w:t>
      </w:r>
      <w:r>
        <w:rPr>
          <w:rFonts w:ascii="arial" w:eastAsia="arial" w:hAnsi="arial" w:cs="arial"/>
          <w:b/>
          <w:i/>
          <w:color w:val="000000"/>
          <w:sz w:val="20"/>
          <w:lang w:val="en-US" w:eastAsia="en-US" w:bidi="ar-SA"/>
        </w:rPr>
        <w:t>Mushka</w:t>
      </w:r>
      <w:r>
        <w:rPr>
          <w:rFonts w:ascii="arial" w:eastAsia="arial" w:hAnsi="arial" w:cs="arial"/>
          <w:color w:val="000000"/>
          <w:sz w:val="20"/>
          <w:lang w:val="en-US" w:eastAsia="en-US" w:bidi="ar-SA"/>
        </w:rPr>
        <w:t xml:space="preserve"> is inconsistent with </w:t>
      </w:r>
      <w:r>
        <w:rPr>
          <w:rFonts w:ascii="arial" w:eastAsia="arial" w:hAnsi="arial" w:cs="arial"/>
          <w:b/>
          <w:i/>
          <w:color w:val="000000"/>
          <w:sz w:val="20"/>
          <w:lang w:val="en-US" w:eastAsia="en-US" w:bidi="ar-SA"/>
        </w:rPr>
        <w:t>Apex</w:t>
      </w:r>
      <w:r>
        <w:rPr>
          <w:rFonts w:ascii="arial" w:eastAsia="arial" w:hAnsi="arial" w:cs="arial"/>
          <w:color w:val="000000"/>
          <w:sz w:val="20"/>
          <w:lang w:val="en-US" w:eastAsia="en-US" w:bidi="ar-SA"/>
        </w:rPr>
        <w:t>, it is not the law in British Columbia.</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circumstances which suggests that the City was in a position to obtain an advantage at the expense of the Plaintiff. It was, as between the Plaintiff and the Defendant Companies, in the position of having to give consideration to the interests of both. The City did not stand to gain anything.</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storm Latecomer charge, the Plaintiff has suggested that the City acted arbitrarily and unilaterally. That argument ignores the fact that the City convened a meeting with the interested parties and, after hearing what each had to say, made a determination. In so doing, it properly fulfilled its obligations to all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argues that both the City and the Defendant Companies have been unjustly enriched. This is the only claim made by the Plaintiff against the Defendant Companies. All the other claims are made against the City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test for unjust enrichment has three elements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Supreme Court of Canada has consistently taken a straightforward economic approach to the first two elements of the test for unjust enrichment: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word "enrichment" connotes a tangible benefit which has been conferred on a defendant. This could be either a positive benefit, such as a payment of money, or a negative benefit, for example, sparing the defendant an expense which it would have otherwise incurred. In general, moral and policy arguments are not considered under this part of the test: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respect to the third element of the test, a plaintiff must show that no juristic reason exists to deny recovery. The established categories that constitute juristic reasons include:</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 of law.</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Donative intent.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valid common law, equitable or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Where the first two elements of the test for unjust enrichment are present, and where there is no juristic reason from an established category under the third part of the test, a plaintiff has made out a prima facie case. A prima facie case is rebuttable where a defendant can show that there is another reason to deny recovery. At this point, a court should have regard to two factors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expectations of the parties.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test for unjust enrichment is relatively new to Canadian jurisprudence. It requires flexibility for courts to expand the categories of juristic reasons as circumstances require and to deny recovery where to allow it would be inequitable: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argues that the City has been unjustly enriched for the following reasons: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received the benefit of the waterworks, and of the increased capacity of the EES, but it has not been required to pay for them.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term of the BWA that the City would have to pay for the waterworks, for which the entirety of the City's cost was passed on to the Plaintiff, which ultimately bore all the expense. It follows that the City has received a benefit which has been conferred on it by the Plaintiff, and that the Plaintiff has suffered a corresponding deprivation in having paid for it, while expecting to be reimbursed.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required to build the extended services at its own expense, the cost of which was determined by Pace and initially accepted without question by the City in the form of the LCA and the acceptance by Council.</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argues that there are two categories of juristic reason applicable in this case - contract and other valid common law, equitable or statutory obligations.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argues that the BWA, the VGA and the LCA form the basis for a juristic reason (contract) to deny the Plaintiff recovery. The Plaintiff responds that it is not a party to the BWA and is not bound by it.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there is no contract, then the Plaintiff submits that it must allow an equitable claim in unjust enrichment.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significantly, this analysis must take into account the fact that the parties to the LCA are presented with a situation that neither party appears to have contemplated.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is to find that the parties have not specifically contemplated a situation within the contractual structure they have constructed, that is, no water available to the benefiting lands, it is submitted that it cannot be said that there is a juridical reason justifying an enrichment arising from the contract. As a result, the principles of restitution can be applied: </w:t>
      </w:r>
      <w:r>
        <w:rPr>
          <w:rFonts w:ascii="arial" w:eastAsia="arial" w:hAnsi="arial" w:cs="arial"/>
          <w:b/>
          <w:i/>
          <w:color w:val="000000"/>
          <w:sz w:val="20"/>
          <w:lang w:val="en-US" w:eastAsia="en-US" w:bidi="ar-SA"/>
        </w:rPr>
        <w:t>Cartoon Inc. v. Natterjack Animation Co.</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(2002), 31 B.L.R. (3d) 52</w:t>
        </w:r>
      </w:hyperlink>
      <w:r>
        <w:rPr>
          <w:rFonts w:ascii="arial" w:eastAsia="arial" w:hAnsi="arial" w:cs="arial"/>
          <w:color w:val="000000"/>
          <w:sz w:val="20"/>
          <w:lang w:val="en-US" w:eastAsia="en-US" w:bidi="ar-SA"/>
        </w:rPr>
        <w:t xml:space="preserve"> at paragraph 66, </w:t>
      </w:r>
      <w:hyperlink r:id="rId22" w:history="1">
        <w:r>
          <w:rPr>
            <w:rFonts w:ascii="arial" w:eastAsia="arial" w:hAnsi="arial" w:cs="arial"/>
            <w:i/>
            <w:color w:val="0077CC"/>
            <w:sz w:val="20"/>
            <w:u w:val="single"/>
            <w:shd w:val="clear" w:color="auto" w:fill="FFFFFF"/>
            <w:lang w:val="en-US" w:eastAsia="en-US" w:bidi="ar-SA"/>
          </w:rPr>
          <w:t>2002 BCSC 1763</w:t>
        </w:r>
      </w:hyperlink>
      <w:r>
        <w:rPr>
          <w:rFonts w:ascii="arial" w:eastAsia="arial" w:hAnsi="arial" w:cs="arial"/>
          <w:color w:val="000000"/>
          <w:sz w:val="20"/>
          <w:lang w:val="en-US" w:eastAsia="en-US" w:bidi="ar-SA"/>
        </w:rPr>
        <w: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LCA contemplates non-development on the benefiting lands, but does not contemplate a situation in which there is no water available for the benefiting lands, or in which there are alternate sources for the supply of water to those lands.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also relies 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as another juristic reason to deny the Plaintiff's recovery. The Plaintiff responds that section 990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designed to assist a developer to recover costs which the local government cannot otherwise afford. It is not a statutory provision intended to </w:t>
      </w:r>
      <w:r>
        <w:rPr>
          <w:rFonts w:ascii="arial" w:eastAsia="arial" w:hAnsi="arial" w:cs="arial"/>
          <w:i/>
          <w:color w:val="000000"/>
          <w:sz w:val="20"/>
          <w:lang w:val="en-US" w:eastAsia="en-US" w:bidi="ar-SA"/>
        </w:rPr>
        <w:t>prevent</w:t>
      </w:r>
      <w:r>
        <w:rPr>
          <w:rFonts w:ascii="arial" w:eastAsia="arial" w:hAnsi="arial" w:cs="arial"/>
          <w:color w:val="000000"/>
          <w:sz w:val="20"/>
          <w:lang w:val="en-US" w:eastAsia="en-US" w:bidi="ar-SA"/>
        </w:rPr>
        <w:t xml:space="preserve"> recovery by a developer.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expectations of the parties are shaped by the fact that, on numerous occasions, the City advised the Plaintiff that it would be eligible for a Latecomer fee.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in determining if there is a juristic reason for denying recovery, it is submitted that the Court must consider the totality of the conduct of the City, including:</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entered into an agreement (the BWA) with a third party for the supply of water to a specific site, the costs of which were to be borne by the Plaintiff;</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entered into a separate LCA with the Plaintiff for the recovery of those costs from sites other than those to which water was to be supplied;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alternative sources for the supply of water for the sites which were the subject of the LCA, about which the City knew but the Plaintiff did not;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issued a building permit to the Defendant Companies for development of a site which was subject to the LCA without a Latecomer charge to be paid by the developer/Latecomer;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reduced the amount of the storm Latecomer charge despite having previously agreed to that amount;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subsequently changed its position some three years later with respect to the Latecomer charge.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these facts, the City is not deserving of the Court's assistance, and the Plaintiff should not be denied recovery.</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PNI</w:t>
      </w:r>
      <w:r>
        <w:rPr>
          <w:rFonts w:ascii="arial" w:eastAsia="arial" w:hAnsi="arial" w:cs="arial"/>
          <w:color w:val="000000"/>
          <w:sz w:val="20"/>
          <w:lang w:val="en-US" w:eastAsia="en-US" w:bidi="ar-SA"/>
        </w:rPr>
        <w:t xml:space="preserve"> is an example of a case where a municipality was held to be unjustly enriched by the benefits provided by a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argues that the Defendant Companies have been unjustly enriched for the following reasons: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maintains that the arguments made against the City in this regard are also applicable to the Defendant Companies, and relies upon those arguments.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connected to or used the Plaintiff's system.</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continued to have the ability to connect to the Plaintiff's water system.</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deprivation is that it has never been compensated for the cost of building any of that system. That deprivation will become final and absolute on October 16, 2006, because that is the ten year anniversary date after which the Plaintiff will be statutorily barred from receiving a Latecomer fee.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not be denied its lawful entitlement simply because the Defendant Companies have chosen to not connect to the system which was built for them.</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Companies argue that the statutory scheme and the contract are juridical bars to the claim for unjust enrichment. The Plaintiff answers that both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the contract are between the Plaintiff and the City, not between the Plaintiff and the Defendant Companies. Therefore, while this may be a bar to a claim for unjust enrichment against the City, it is not a bar to a claim against the Defendant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my view, the Plaintiff's claims for unjust enrichment against the City must fail. My reasons for arriving at this conclusion are as follows: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at bar is readily distinguishable from the factual scenario in </w:t>
      </w:r>
      <w:r>
        <w:rPr>
          <w:rFonts w:ascii="arial" w:eastAsia="arial" w:hAnsi="arial" w:cs="arial"/>
          <w:b/>
          <w:i/>
          <w:color w:val="000000"/>
          <w:sz w:val="20"/>
          <w:lang w:val="en-US" w:eastAsia="en-US" w:bidi="ar-SA"/>
        </w:rPr>
        <w:t>PNI</w:t>
      </w:r>
      <w:r>
        <w:rPr>
          <w:rFonts w:ascii="arial" w:eastAsia="arial" w:hAnsi="arial" w:cs="arial"/>
          <w:color w:val="000000"/>
          <w:sz w:val="20"/>
          <w:lang w:val="en-US" w:eastAsia="en-US" w:bidi="ar-SA"/>
        </w:rPr>
        <w:t>. There the City had obtained 30% of the developer's lands as park, as opposed to the statutorily permitted 5%. A park is an amenity having a benefit to the citizenry generally, whereas servicing infrastructure does not.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second branch of the test, the Plaintiff has not suffered a deprivation. It required the waterworks, including the PRV, to obtain water; it obtained water. It had to meet the requirements of the City's subdivision bylaw in any event to pursue its own project. This is to be contrasted by the expenditures in </w:t>
      </w:r>
      <w:r>
        <w:rPr>
          <w:rFonts w:ascii="arial" w:eastAsia="arial" w:hAnsi="arial" w:cs="arial"/>
          <w:b/>
          <w:i/>
          <w:color w:val="000000"/>
          <w:sz w:val="20"/>
          <w:lang w:val="en-US" w:eastAsia="en-US" w:bidi="ar-SA"/>
        </w:rPr>
        <w:t>PNI</w:t>
      </w:r>
      <w:r>
        <w:rPr>
          <w:rFonts w:ascii="arial" w:eastAsia="arial" w:hAnsi="arial" w:cs="arial"/>
          <w:color w:val="000000"/>
          <w:sz w:val="20"/>
          <w:lang w:val="en-US" w:eastAsia="en-US" w:bidi="ar-SA"/>
        </w:rPr>
        <w:t xml:space="preserve"> where the developer had to spend funds for amenities it would not have otherwise required and had to give up land it otherwise could have developed.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for the final element of the absence of a juristic reason, the BWA provides a juristic reason. To say that the Plaintiff was not a party to it is to resort to excessive legalism which should not govern the consideration of an equitable remedy. The reality is that the BWA was put in place precisely to provide the Plaintiff with water. The Plaintiff was well aware of it, approved of its terms, and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a party to the VGA.</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in </w:t>
      </w:r>
      <w:r>
        <w:rPr>
          <w:rFonts w:ascii="arial" w:eastAsia="arial" w:hAnsi="arial" w:cs="arial"/>
          <w:b/>
          <w:i/>
          <w:color w:val="000000"/>
          <w:sz w:val="20"/>
          <w:lang w:val="en-US" w:eastAsia="en-US" w:bidi="ar-SA"/>
        </w:rPr>
        <w:t>PNI</w:t>
      </w:r>
      <w:r>
        <w:rPr>
          <w:rFonts w:ascii="arial" w:eastAsia="arial" w:hAnsi="arial" w:cs="arial"/>
          <w:color w:val="000000"/>
          <w:sz w:val="20"/>
          <w:lang w:val="en-US" w:eastAsia="en-US" w:bidi="ar-SA"/>
        </w:rPr>
        <w:t xml:space="preserve"> said this at paragraph 13: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 court is to follow an established approach to unjust enrichment predicated on clearly defined principles. However, their application should not be mechanical. Iacobucci J. observed that "this is an equitable remedy that will necessarily involve discretion and questions of fairness".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argument of contract justification, I am guided by the following passage from </w:t>
      </w:r>
      <w:r>
        <w:rPr>
          <w:rFonts w:ascii="arial" w:eastAsia="arial" w:hAnsi="arial" w:cs="arial"/>
          <w:b/>
          <w:i/>
          <w:color w:val="000000"/>
          <w:sz w:val="20"/>
          <w:lang w:val="en-US" w:eastAsia="en-US" w:bidi="ar-SA"/>
        </w:rPr>
        <w:t>PNI</w:t>
      </w:r>
      <w:r>
        <w:rPr>
          <w:rFonts w:ascii="arial" w:eastAsia="arial" w:hAnsi="arial" w:cs="arial"/>
          <w:color w:val="000000"/>
          <w:sz w:val="20"/>
          <w:lang w:val="en-US" w:eastAsia="en-US" w:bidi="ar-SA"/>
        </w:rPr>
        <w:t xml:space="preserve"> at paragraph 32: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many cases, no doubt, municipalities make demands that are not strictly authorized and developers do what they are asked to do because in the end they get the zoning they want. There is no suggestion that, in the ordinary case, such arrangements should be unwound on the basis of the doctrine of unjust enrichment ....</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VGA also expresses a donative intent on the part of the Plaintiff.</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Latecomer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permit the City to require a developer to provide extended services where the cost of the City doing so would be considered excessive. The intent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to relieve the City of the cost of servicing development lands. To permit a developer, unable to recover a Latecomer charge from other landowners, to recover them from the City through unjust enrichment principles, is contrary to the purpose and intent of the legislation.</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reasonable expectations of the parties and public policy considerations, the City had no expectation that it might owe a Latecomer charge. The Plaintiff had something less than an expectation that it would recover a Latecomer charge, and nothing more than a mere hope that it would do so. It was committed to going forward with the expense of its project in any event.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consideration of this equitable remedy necessarily involves discretion and questions of fairness, the profit of over $750,000 which the Plaintiff made on the subdivision and development of its own lands is a reasonable and appropriate factor for the Court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the Plaintiff's claim for unjust enrichment against the Defendant Companies must also fail. My reasons for arriving at this conclusion are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rejected the argument that the 411 Lands connected to or used the Plaintiff's system.</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not been enriched by any benefit received from the Plaintiff. They have received no benefit from the waterworks constructed by the Plaintiff.</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Companies have received any benefit, there was no corresponding deprivation to the Plaintiff. The Plaintiff had to build the system in order to move forward with its own project. The cost of the system was a cost that it took into account in deciding to go forward with that project.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benefit and corresponding deprivation there are juristic reasons why the Defendant Companies should not be required to pay anything to the Plaintiff. Those juristic reasons are the statutory scheme, the contract (LCA), and the donative intent (VGA).</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reasonable expectation of the Plaintiff was that it hoped to receive a Latecomer fee, but not that it ever </w:t>
      </w:r>
      <w:r>
        <w:rPr>
          <w:rFonts w:ascii="arial" w:eastAsia="arial" w:hAnsi="arial" w:cs="arial"/>
          <w:i/>
          <w:color w:val="000000"/>
          <w:sz w:val="20"/>
          <w:lang w:val="en-US" w:eastAsia="en-US" w:bidi="ar-SA"/>
        </w:rPr>
        <w:t>expected</w:t>
      </w:r>
      <w:r>
        <w:rPr>
          <w:rFonts w:ascii="arial" w:eastAsia="arial" w:hAnsi="arial" w:cs="arial"/>
          <w:color w:val="000000"/>
          <w:sz w:val="20"/>
          <w:lang w:val="en-US" w:eastAsia="en-US" w:bidi="ar-SA"/>
        </w:rPr>
        <w:t xml:space="preserve"> to receive one. It was always clear that there was not a guarantee of a Latecomer fee, but merely the potential for one.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expectations of the Defendant Companies were as follows: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would only have to pay a Latecomer charge if the Latecomer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applied, which they do not;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never connect to or use the system built by the Plaintiff. They would not have proceeded if they had understood the situation to be otherwise;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never wanted anything to do with the Plaintiff's waterworks. The fact that the City may now view the Plaintiff's works as a benefit to the Defendant Companies does not make it so. It cannot be a benefit to the Defendant Companies, if the Defendant Companies do not want it, have never wanted it, do not use it and do not intend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FOR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City and the Defendant Companies have asked me to determine whether or not the Defendant Companies owe a Latecomer charge to the City. This matter is not directly before me because the Defendant Companies are not a party to the LCA. The Defendant Companies have apparently issued a Third Party Notice against the City, which is also not before me for consideration. Nevertheless, the parties have agreed that, if I am able to determine this issue, it may assist them in resolving the litigation which surrounds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prepared to make that determination, and proceed to do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would seem to follow as a matter of logic that my findings that the City is not legally bound to pay any Latecomer charge to the Plaintiff would lead to the conclusions that the City would not be entitled to collect a Latecomer charge from the Defendant Companies, and that the Defendant Companies would not owe a Latecomer charge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addition, it is my view that an independent analysis of the position of the Defendant Companies in relation to the City and to the Plaintiff necessarily leads to the same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impossible to entirely separate the question of whether a Latecomer charge is owing to the City from the question of whether the Plaintiff is entitled to receive it. The relevant questions and their answers necessarily overlap. It is also impossible to discuss what may or may not be owed by the Defendant Companies, without also discussing what the Plaintiff may or may not be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view, the Defendant Companies are not legally obligated to pay a Latecomer charge to the City. My reasons for arriving at this conclusion are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claim (and the Plaintiff's) ultimately comes down to this: they are both seeking a Latecomer charge for a system which the Defendant Companies have not connected to, through which the Defendant Companies are not entitled to receive water, through which the City is not entitled to provide water to the Defendant Companies, and which was necessary to be built by the Plaintiff in any event for the Plaintiff's own purposes.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the technical arguments are stripped away, there remains this very simple proposition: the Defendant Companies do not receive any water from the Plaintiff, and are not entitled to receive any. It is an odd proposition that suggests that the Defendant Companies should have to pay for it, either directly or through the City as collector.</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reality is that there is no water for the Defendant Companies through the Plaintiff's system.</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might well be liable (subject to the "phasing" argument) if it was receiving water. But it is not, and it is not entitled to.</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illegal for the Defendant Companies to use the Plaintiff's waterworks system to obtain water for the 411 Lands. It would be illegal for the following reasons: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never had a legal right, nor does it have one now, to provide the water in its system to the 411 Lands; its only legal right to provide water is as defined in the BWA;</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411 Lands are outside the supply areas of the BWA.</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would need the permission of WOCID, which it was unable to obtain, to provide water to the 411 Lands.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have no contractual relationship with WOCID and are not parties to the BWA. There is nothing that restricts them from receiving water from other sources.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determined that the 411 Lands have not connected to or used the Plaintiff's system.</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determined that the Riverside Hydrant was not upgraded by any work that the Plaintiff did.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early as the meeting of December 14, 2000, the Defendant Companies were arguing that they were not obligated to pay a Latecomer charge to the City because they had different sources for their water (the Well and the Riverside Hydrant).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Riverside Hydrant pre-dated the BWA and the LCA.</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Well was on the 411 Lands and pre-dated the Plaintiff's system.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gave approval for the Building (5% of the land) on the basis that: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domestic water could be provided from the Well;</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 protection could be provided by the Riverside Hydrant;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connection to the Plaintiff's system was necessary.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had a right to do the foregoing, and the Defendant Companies had a right to rely upon it.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would not have proceeded with the Building but for this approval received by the City. It would have made no economic sense to do otherwise.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21, 1997, the City wrote to the Defendant Companies noting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you do not subdivide or use these services, you will not have to pay a Latecomer charge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"Should you choose to connect to or use these services within a 10 year period ... you will be required to pay the Latecomer charge ... to the City for this benefit."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had told the Defendant Companies that no Latecomer fee was due. The Defendant Companies relied upon this and built the Building. If the City erred, the consequences of that error should not be visited on the Defendant Companies.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apparently changed its view about whether or not the Riverside Hydrant provides sufficient fire flow to satisfy the bylaw. If they are correct in this new view, it means that the Defendant Companies are not in compliance with the bylaw. While that may be an issue between the City and the Defendant Companies, it is not an issue that bears on whether or not a Latecomer charge is payable.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City is finally able to provide community water to the 411 Lands, sometime in the future, there is no certainty that it will be the water from the Plaintiff's system. If it comes from some other system, then it is conceivable that the Defendant Companies could end up paying two different Latecomer charges. Surely, this cannot be what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the LCP contemplates.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I am correct in my determinations that the Plaintiff is not entitled to receive any Latecomer fee from the City, and that the Defendant Companies are not liable to pay any Latecomer fee to the City, then no calculations are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event that I am wrong in determining that no damages are payable, I now turn to the question of quantum of damages. In my view, the amount of damages payable, if any, under any of the causes of action which I may have decided incorrectly, is the precise amount of whatever Latecomer charge would be payable. For that reason, I now turn to the question of what amount would be payable as a Latecomer fee, if I am wrong in my decision that none is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Assuming any Latecomer charge is due at all, there is considerable uncertainty as to the amount. Some of the reasons for that uncertainty are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 (Pace) and the City's expert disagree about the appropriate amount.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and the Defendant Companies argue that, in any event, more than half of the Plaintiff's waterworks were for the benefit of WOCID (the PRV) and not for the benefit of the Defendant Companies.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and the Defendant Companies argue that the PRV is a service which is "excess" as opposed to "extended", under Clause 1.03.6 of the LCP. Only WOCID benefits from the PRV. The Defendant Companies would not benefit from the PRV, even if they were getting water. The cost of the PRV was approximately 50% of the entire expense of the waterworks system. The Plaintiff benefits directly from the PRV which was required by WOCID to step down pressure so that the water could be used on the Plaintiff's property as well as others. Everything relating to the PRV is "excess" capacity. A Latecomer charge is only for "extended" capacity. There is no Latecomer charge payable for "excess" capacity under the LCP. Therefore, there is no Latecomer charge payable for any expense relating to the PRV.</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accepted the expert evidence of the Defendant Companies that a significant portion of the storm Latecomer charge should not be paid because it provided no benefit to the 411 Lands.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Companies argue that they are entitled to benefit from "phasing" which means that they would only be responsible for approximately 5% of the Latecomer charge.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"phasing" is not available as a matter of law, because a pre-arranged plan and/or schedule for phasing has never been set up or arranged.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received legal advice in 1998 expressing the view that payment, based on phasing, would not be available as a matter of law in the circumstances, and that therefore, if a Latecomer charge was payable, it was payable in full.</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Plaintiff's argument that a Latecomer charge is not applicable to phasing, the Defendant Companies disagree, and note the following:</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LCP uses the phrase "for phased developments" in Clause 1.03.12 of the LCP;</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8 of the LCA also refers to phased developments;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also acknowledged that phasing might be appropriate in an internal memorandum of June 28, 2000, where it refers to "a proposed phasing of the Beaver Lake upgrading ..." and to the "construction phasing ...";</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990(5)(c)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refers to "a charge related to the benefit" which the Defendant Companies argue can only mean "phasing".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my view, the arguments of the Defendant Companies are correct with respect to the issue of "phasing" and with respect to the issue of the PRV.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Building on only 5% of the property is sufficient to invoke the benefit of "phasing" as it is discussed in the LCP, the LCA, and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it is not necessary that there be any pre-arranged plan or schedule for "phasing" to be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It would not be reasonable or within the scope of anyone's contemplation that, even if a Latecomer charge is owing, it should include a charge for the PRV, which benefits WOCID and the Plaintiff only, but which accounts for more than 50 percent of the apparent Latecomer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Therefore, if I have been in error, such that a Latecomer charge is owing, the amount of the Latecomer charge claimed must be adjusted to account for "phasing" in the amount of approximately 5%, and a reduction for the cost of the PRV, which accounts for approximately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does not enable me to do more than approximate. There is insufficient evidence to enable me to determine the precise effect that the issue of phasing, and the expenses and value relating to the PRV might have on the calculation of a Latecomer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If I am wrong in my decision, such that a Latecomer charge is owing, counsel will be at liberty to make submissions with respect to the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follows from all of the foregoing that each of the Plaintiff's claims against the City are dismissed with respect to the following:</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Declaration that it was seeking.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LCA.</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follows from the foregoing that the Plaintiff's claim against the Defendant Companies for unjust enrichment is dismissed, and the Defendant Companies' application for dismissal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Although it is not before me in the form of a formal claim, I have made a determination, at the request of counsel, with respect to whether or not the Defendant Companies owe a Latecomer charge to the City. My conclusion is that they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I have erred with respect to the foregoing, then:</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damages, under any of the causes of action alleged, is equal to the amount of the Latecomer charge that may be owing.</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amount of the Latecomer charge claimed is not the appropriate amount.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the appropriate amount of the Latecomer charge requires a reduction of the amount claimed having regard to the issues of "phasing" and the value of the PRV.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parties have requested that I make no order as to costs. If they are unable to agree, they can arrange to bring the matter before me for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 w:history="1">
        <w:r>
          <w:rPr>
            <w:rFonts w:ascii="arial" w:eastAsia="arial" w:hAnsi="arial" w:cs="arial"/>
            <w:b/>
            <w:bCs/>
            <w:i/>
            <w:color w:val="0077CC"/>
            <w:kern w:val="32"/>
            <w:sz w:val="28"/>
            <w:szCs w:val="32"/>
            <w:u w:val="single"/>
            <w:shd w:val="clear" w:color="auto" w:fill="FFFFFF"/>
            <w:lang w:val="en-US" w:eastAsia="en-US" w:bidi="ar-SA"/>
          </w:rPr>
          <w:t>Beverly Corners Liquor Store Ltd. v. British Columbia (General Manager, Liquor Control and Licensing Branch), [2012] B.C.J. No. 2584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S121905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Corners Liquor Store Ltd., Petitioner, and General Manager under the Liquor Control and Licensing Act,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Criminal law — Regulatory offences — Defences — Due diligence — Strict liability — Application by Beverly Corners for order quashing General Manager's decision finding it liable for selling liquor to a minor allowed — Employee of applicant sold alcohol to a minor without checking identification — General Manager applied incorrect test in determining employee was a directing mind of the applicant thus rendering due diligence defence unavailable to the applicant — Proper test was whether employee had governing executive authority in the design and supervision of implementation of corporate policy — Merely carrying out policy was insufficient.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Liquor control — Offences and penalties — Appeals and judicial review — Amendment or rescinding of decision — Application by Beverly Corners for order quashing General Manager's decision finding it liable for selling liquor to a minor allowed — Employee of applicant sold alcohol to a minor without checking identification — General Manager applied incorrect test in determining employee was a directing mind of the applicant thus rendering due diligence defence unavailable to the applicant — Proper test was whether employee had governing executive authority in the design and supervision of implementation of corporate policy — Merely carrying out policy was insufficient.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Beverly Corners Liquor Store for an order quashing the General Manager's decision finding the applicant liable for a contravention of the Liquor Control and Licensing Act and imposing a fine of $7,500. One of the applicant's employees had sold liquor to a minor. Despite the patron's youthful appearance, the employee did not request any identification to confirm the patron's age. The patron was an undercover agent hired to confirm compliance with the terms and conditions of liquor licences. The employee was a supervisor on duty on the night in question. She did not manage or have authority over staff. In addition to her cashier duties, she was responsible for ensuring the store was cleaned at the end of the night, that cash was put into the safe and that the store was locked upon leaving. There had never been compliance issues at the applicant's premises before this matter. By all accounts, the policies, manuals, training, procedures and compliance oversight of the applicant were above standard practice for the industry and went beyond that of most operators. In his decision the General Manager found the applicant was not entitled to the benefit of the due diligence defence because at the time of the contravention the employee in question had been the directing mind of the applicant. The applicant argued that the General Manager did not apply the correct test as to whether the employee on duty was the applicant's directing mind.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
            <w:bookmarkEnd w:id="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General Manager applied the wrong test to determine whether the employee was the directing mind of the applicant. The proper test was whether the impugned individual had been delegated governing executive authority of the company within the scope of his or her authority in the design and supervision of the implementation of corporate policy. If the employee merely carried out such policy, he/she was not a directing mind of the corporation. In this case, the General Manager found as a fact that the employee was not part of management, did not set store policies and was not in charge of other employees. While she did have authority over the tasks assigned to her, including preventing the sale of liquor to minors, she did not have authority to devise or develop corporate policy or make corporate decisions which went beyond the individual sale in question. The authority to determine whether a customer was of legal age and then to refuse sale, as necessary, was part of the discretion given to exercise responsibility in the performance of her job function. That was an operational matter. The General Manager's decision was an error of law. Given the General Manager's finding that the applicant otherwise had established proper procedures to prevent the sale of liquor to minors, the decision could be quashed and did not need to be referred back for redetermination.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_0"/>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Judicial Review Procedure Act, </w:t>
      </w:r>
      <w:hyperlink r:id="rId30" w:history="1">
        <w:r>
          <w:rPr>
            <w:rFonts w:ascii="arial" w:eastAsia="arial" w:hAnsi="arial" w:cs="arial"/>
            <w:i/>
            <w:color w:val="0077CC"/>
            <w:sz w:val="20"/>
            <w:u w:val="single"/>
            <w:shd w:val="clear" w:color="auto" w:fill="FFFFFF"/>
            <w:lang w:val="en-US" w:eastAsia="en-US" w:bidi="ar-SA"/>
          </w:rPr>
          <w:t>RSBC 1996, CHAPTER 241, s. 2</w:t>
        </w:r>
      </w:hyperlink>
      <w:r>
        <w:rPr>
          <w:rFonts w:ascii="arial" w:eastAsia="arial" w:hAnsi="arial" w:cs="arial"/>
          <w:color w:val="000000"/>
          <w:sz w:val="20"/>
          <w:lang w:val="en-US" w:eastAsia="en-US" w:bidi="ar-SA"/>
        </w:rPr>
        <w:t>, s. 3,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Liquor Control and Licensing Act, </w:t>
      </w:r>
      <w:hyperlink r:id="rId31" w:history="1">
        <w:r>
          <w:rPr>
            <w:rFonts w:ascii="arial" w:eastAsia="arial" w:hAnsi="arial" w:cs="arial"/>
            <w:i/>
            <w:color w:val="0077CC"/>
            <w:sz w:val="20"/>
            <w:u w:val="single"/>
            <w:shd w:val="clear" w:color="auto" w:fill="FFFFFF"/>
            <w:lang w:val="en-US" w:eastAsia="en-US" w:bidi="ar-SA"/>
          </w:rPr>
          <w:t>RSBC 1996, CHAPTER 267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A decision of the Liquor Control and Licensing Branch, Ministry of Public Safety and Solicitor General, dated 27 February 2012, (File No. EH11-077)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Counsel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A.D. Gay.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T. Mason.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J.R. DILLON J."/>
            <w:bookmarkEnd w:id="12"/>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applies for an order that the decision of the General Manager under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 the "Act"), dated February 27, 2012 (the "decision"), be set aside or quashed pursuant to sections 2, 3, and 7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In the alternative, the petitioner asks that the General Manager be required to reconsider the decision in accordance with directions provided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major issue before this Court, as agreed by both parties, is whether the General Manager applied the correct test for the defence of due diligence, particularly as to whether the employee on duty at the petitioner's premises on the evening of May 11, 2011 was the "directing mind"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Liquor Control and Licensing Branch (the "branch") grants licences for the purchase and sale of liquor under s. 2(2) of the Act. A General Manager is appointed under s. 3(1) of the Act to administer the Act, including taking action against a licensee for contravention of the Act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Beverly Corners Liquor Store Ltd. ("Beverly Corners") operates a private retail liquor store (known as a "licensee retail store") located in North Cowichan, British Columbia under licence number 195428. That licence is subject to the terms and conditions contained in the publication 'A Guide for Liquor Licences in British Columbia'. With respect to minors, that publication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against the law to sell, serve, or supply liquor to a minor. It is expected that you and your staff will put in place effective systems to meet this objective. If you or an employee allow a minor to purchase liquor, your licensing privileges could be jeopardized, and you risk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then a description of the requirement for two pieces of identification to verify the age of the customer. If two acceptable pieces of identification are not produced to prove that the customer is aged 19 or over, service must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General Manager notified the petitioner on July 6, 2011 that the General Manager was pursuing enforcement action against Beverly Corners for contravention of s. 33(1)(a) of the Act for sale of liquor to a minor on May 11, 2011. The General Manager sought a monetary penalty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circumstances forming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are not in dispute. Beverly Corners conceded at the hearing into the contravention that a six-pack of beer was sold to a minor and no identification was requested. The minor was employed as an agent of the branch and was working undercover under supervision according to a new programme of using minors as undercover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female cashier who sold the liquor to the minor was the supervisor on duty that night and was working her last shift at the store before she moved to another province. It was a typically busy Wednesday evening and she planned to leave work early, within a half hour of the controversial sale. There were two cashiers on duty that night who were both supervisors. The cashier had been fully trained and signed off on all policy and practice manuals. She had been assessed for her performance regularly and promoted to supervisor. She had been found to comply with policy, practices, and systems related to minors. She had been observed to faithfully check on young customers who came to her till. Her failure to follow policies and training on May 11, 2011 was inexplicable.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of the duties and responsibilities of supervisors and management was summarized by the general manager in the decision. The general manager also set out the policies, training, practices and procedures of Beverly Corners as it related to the prevention of the sale of liquor to minors.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Supervisors are not part of management. They do not manage or have authority over staff. Their duties are to ensure that the store is cleaned at the end of the night and ready for business the following day. They put the money into the safe and ensure that the store is locked upon leaving. If they have a problem with staff or another issue, they are to call a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 store manager and a general manager. The store manager reports to the general manager but is responsible to manage staff. Managers do not usually work night shifts unless it is expected to be unusually busy. A manager would not normally be expected to be working on a normal Wednesday night. However, they are available on-call. Managers train employees such as the cashier who sold the liquor to the minor on May 11, 2011. Through policy manuals and training, staff learn to record cancelled sales because of failure to produce identification and to maintain a system of alerts for suspected minors in the store. Employees who are trained by the managers are required to sign off on training and policy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general manager is responsible for day to day operations and receives reports from the store and other managers. The general manager is also a shareholder in the business that owns the licensee retail store. There had never been compliance issues at Beverly Corners before this matter. Management stressed to employees a no tolerance policy when it came to sale of liquor to minors and took pride in being the toughest store on identification in the area. The general manager testified to the policies, practices and procedures in place to prevent the sale of liquor to minors which was seen as a serious responsibility. Management was shown to be current with licence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all accounts, the policies, manuals, training, procedures, and compliance oversight of Beverly Corners are above standard practice for the industry and go beyond that of most operators. The policy errs on the side of caution for checking identification and there are multiple systems in place to constantly remind staff of this duty. Staff and management are regularly reminded of their obligations with respect to minors through various means, including in pay envelopes and on buttons worn on their uniforms.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 of the General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General Manager said that the licensee was entitled to the defence of due diligence.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licensee is entitled to a defence to the allegations of the contravention, if it can be shown that it was duly diligent in taking reasonable steps to prevent the contravention from occurring. The licensee must not only establish procedures to identify and deal with problems, it must ensure that those procedures are consistently acted upon and problems are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 then cited the test of due diligence from </w:t>
      </w:r>
      <w:r>
        <w:rPr>
          <w:rFonts w:ascii="arial" w:eastAsia="arial" w:hAnsi="arial" w:cs="arial"/>
          <w:i/>
          <w:color w:val="000000"/>
          <w:sz w:val="20"/>
          <w:lang w:val="en-US" w:eastAsia="en-US" w:bidi="ar-SA"/>
        </w:rPr>
        <w:t>R. v. Sault Ste. Marie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xml:space="preserve"> at 1331, </w:t>
      </w:r>
      <w:hyperlink r:id="rId32" w:history="1">
        <w:r>
          <w:rPr>
            <w:rFonts w:ascii="arial" w:eastAsia="arial" w:hAnsi="arial" w:cs="arial"/>
            <w:i/>
            <w:color w:val="0077CC"/>
            <w:sz w:val="20"/>
            <w:u w:val="single"/>
            <w:shd w:val="clear" w:color="auto" w:fill="FFFFFF"/>
            <w:lang w:val="en-US" w:eastAsia="en-US" w:bidi="ar-SA"/>
          </w:rPr>
          <w:t>85 D.L.R. (3d) 161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In the context of liquor enforcement, however, he relied upon the criteria from </w:t>
      </w:r>
      <w:r>
        <w:rPr>
          <w:rFonts w:ascii="arial" w:eastAsia="arial" w:hAnsi="arial" w:cs="arial"/>
          <w:i/>
          <w:color w:val="000000"/>
          <w:sz w:val="20"/>
          <w:lang w:val="en-US" w:eastAsia="en-US" w:bidi="ar-SA"/>
        </w:rPr>
        <w:t>Plaza Cabaret v. General Manager, Liquor Control and Licensing Branch</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2004 BCSC 248</w:t>
        </w:r>
      </w:hyperlink>
      <w:r>
        <w:rPr>
          <w:rFonts w:ascii="arial" w:eastAsia="arial" w:hAnsi="arial" w:cs="arial"/>
          <w:color w:val="000000"/>
          <w:sz w:val="20"/>
          <w:lang w:val="en-US" w:eastAsia="en-US" w:bidi="ar-SA"/>
        </w:rPr>
        <w:t xml:space="preserve"> at paras. 25, 27 and 28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General Manager then applied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in question in this case three employees were working in the licensee's liquor store. One of the employees was designated as the supervisor and it was she who served the patron. As supervisor she was not designated to be part of management, did not set store policies, nor was she in charge of other employees. Her responsibilities were to ensure that the store was properly prepared for the next day's business and the cash receipts and the store itself secured at the end of the night. She was also a cashier and as such was authorized to sell liquor to customers. She was required to ensure herself that a sale was made only to a person of legal age and not in a state of intoxication or under the influence of liquor. While she had telephone access to management staff if necessary, I do not accept that she would reasonably be expected to contact a manager in order to determine if each customer was of age. She had the authority to make a determination whether the customer was of legal age and if not satisfied in that regard to refuse the sale. I find that when the contravention occurred she was the directing mind of the licensee. Despite the youthful appearance of the minor she completed the sale of liquor to him. She did not request identification nor otherwise satisfy herself that he was of legal age. Consequently, the licensee, notwithstanding its well intentioned efforts to attain compliance by, amongst other things, publishing comprehensive employee manuals, providing training, providing reminders and conducting staff meetings, is not entitled to the benefit of the 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of the test of due diligence as it pertains to the directing mind is a mixed question of fact and law (</w:t>
      </w:r>
      <w:r>
        <w:rPr>
          <w:rFonts w:ascii="arial" w:eastAsia="arial" w:hAnsi="arial" w:cs="arial"/>
          <w:i/>
          <w:color w:val="000000"/>
          <w:sz w:val="20"/>
          <w:lang w:val="en-US" w:eastAsia="en-US" w:bidi="ar-SA"/>
        </w:rPr>
        <w:t>Rhône (The) v. Peter A.B. Widener (The)</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[1993] 1 S.C.R. 497</w:t>
        </w:r>
      </w:hyperlink>
      <w:r>
        <w:rPr>
          <w:rFonts w:ascii="arial" w:eastAsia="arial" w:hAnsi="arial" w:cs="arial"/>
          <w:color w:val="000000"/>
          <w:sz w:val="20"/>
          <w:lang w:val="en-US" w:eastAsia="en-US" w:bidi="ar-SA"/>
        </w:rPr>
        <w:t xml:space="preserve"> at 515, </w:t>
      </w:r>
      <w:hyperlink r:id="rId34" w:history="1">
        <w:r>
          <w:rPr>
            <w:rFonts w:ascii="arial" w:eastAsia="arial" w:hAnsi="arial" w:cs="arial"/>
            <w:i/>
            <w:color w:val="0077CC"/>
            <w:sz w:val="20"/>
            <w:u w:val="single"/>
            <w:shd w:val="clear" w:color="auto" w:fill="FFFFFF"/>
            <w:lang w:val="en-US" w:eastAsia="en-US" w:bidi="ar-SA"/>
          </w:rPr>
          <w:t>101 D.L.R. (4th) 188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Cambie Malone's Corp. v. British Columbia (General Manager, Liquor Control and Licensing Branch)</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2009 BCSC 987</w:t>
        </w:r>
      </w:hyperlink>
      <w:r>
        <w:rPr>
          <w:rFonts w:ascii="arial" w:eastAsia="arial" w:hAnsi="arial" w:cs="arial"/>
          <w:color w:val="000000"/>
          <w:sz w:val="20"/>
          <w:lang w:val="en-US" w:eastAsia="en-US" w:bidi="ar-SA"/>
        </w:rPr>
        <w:t xml:space="preserve"> at para. 35, </w:t>
      </w:r>
      <w:hyperlink r:id="rId35" w:history="1">
        <w:r>
          <w:rPr>
            <w:rFonts w:ascii="arial" w:eastAsia="arial" w:hAnsi="arial" w:cs="arial"/>
            <w:i/>
            <w:color w:val="0077CC"/>
            <w:sz w:val="20"/>
            <w:u w:val="single"/>
            <w:shd w:val="clear" w:color="auto" w:fill="FFFFFF"/>
            <w:lang w:val="en-US" w:eastAsia="en-US" w:bidi="ar-SA"/>
          </w:rPr>
          <w:t>96 Admin. L.R. (4th) 301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Cambie Malone's</w:t>
      </w:r>
      <w:r>
        <w:rPr>
          <w:rFonts w:ascii="arial" w:eastAsia="arial" w:hAnsi="arial" w:cs="arial"/>
          <w:color w:val="000000"/>
          <w:sz w:val="20"/>
          <w:lang w:val="en-US" w:eastAsia="en-US" w:bidi="ar-SA"/>
        </w:rPr>
        <w:t>)). These are reviewable on a reasonableness standard (</w:t>
      </w:r>
      <w:r>
        <w:rPr>
          <w:rFonts w:ascii="arial" w:eastAsia="arial" w:hAnsi="arial" w:cs="arial"/>
          <w:i/>
          <w:color w:val="000000"/>
          <w:sz w:val="20"/>
          <w:lang w:val="en-US" w:eastAsia="en-US" w:bidi="ar-SA"/>
        </w:rPr>
        <w:t>The Publik Restaurant PG Ltd. v. General Manager of the Liquor Control and Licensing Branch</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2009 BCSC 249</w:t>
        </w:r>
      </w:hyperlink>
      <w:r>
        <w:rPr>
          <w:rFonts w:ascii="arial" w:eastAsia="arial" w:hAnsi="arial" w:cs="arial"/>
          <w:color w:val="000000"/>
          <w:sz w:val="20"/>
          <w:lang w:val="en-US" w:eastAsia="en-US" w:bidi="ar-SA"/>
        </w:rPr>
        <w:t xml:space="preserve"> at para. 33). Reasonableness requires deference. Courts must determine whether the outcome falls within a range of possible acceptable outcomes which are defensible in terms of the facts and the law (</w:t>
      </w:r>
      <w:r>
        <w:rPr>
          <w:rFonts w:ascii="arial" w:eastAsia="arial" w:hAnsi="arial" w:cs="arial"/>
          <w:i/>
          <w:color w:val="000000"/>
          <w:sz w:val="20"/>
          <w:lang w:val="en-US" w:eastAsia="en-US" w:bidi="ar-SA"/>
        </w:rPr>
        <w:t>Canada (Citizenship and Immigration) v. Khosa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SCC 12</w:t>
        </w:r>
      </w:hyperlink>
      <w:r>
        <w:rPr>
          <w:rFonts w:ascii="arial" w:eastAsia="arial" w:hAnsi="arial" w:cs="arial"/>
          <w:color w:val="000000"/>
          <w:sz w:val="20"/>
          <w:lang w:val="en-US" w:eastAsia="en-US" w:bidi="ar-SA"/>
        </w:rPr>
        <w:t xml:space="preserve"> at para. 59, </w:t>
      </w:r>
      <w:hyperlink r:id="rId37" w:history="1">
        <w:r>
          <w:rPr>
            <w:rFonts w:ascii="arial" w:eastAsia="arial" w:hAnsi="arial" w:cs="arial"/>
            <w:i/>
            <w:color w:val="0077CC"/>
            <w:sz w:val="20"/>
            <w:u w:val="single"/>
            <w:shd w:val="clear" w:color="auto" w:fill="FFFFFF"/>
            <w:lang w:val="en-US" w:eastAsia="en-US" w:bidi="ar-SA"/>
          </w:rPr>
          <w:t>[2009] 1 S.C.R. 339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licence for the sale of liquor is issued by the General Manager after having regard to the public interest (s. 12(1) of the Act). A licensee is a person licensed to sell liquor. The General Manager may take action against a licensee for failure to comply with a term or condition of the licence (s. 20(1)(a)). This is referred to as an enforcement action in which non-compliance with the Act is alleged against a licensee. Section 20(2.4) of the Act provides: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liable to a monetary penalty imposed under this section in respect of a contravention of this Act or the regulations, an employee, officer, director or agent of the corporation who authorizes, permits or acquiesces in the contravention is also liable to the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monetary penalty imposed for contravention of the Act must be paid regardless of whether a person has been convicted of an offence under the Act (s. 20(2.5)). There is a distinction between contraventions of the Act which are enforced by the General Manager and punishable pursuant to regulations, and offences for contravention of the Act which are punishable pursuant to s. 48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33(1)-(a) of the Act specifies that "A person must not sell, give, or otherwise supply liquor to a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Schedule 4 of the </w:t>
      </w:r>
      <w:r>
        <w:rPr>
          <w:rFonts w:ascii="arial" w:eastAsia="arial" w:hAnsi="arial" w:cs="arial"/>
          <w:i/>
          <w:color w:val="000000"/>
          <w:sz w:val="20"/>
          <w:lang w:val="en-US" w:eastAsia="en-US" w:bidi="ar-SA"/>
        </w:rPr>
        <w:t>Liquor Control and Licensing Regulation</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B.C. Reg. 244/2002</w:t>
        </w:r>
      </w:hyperlink>
      <w:r>
        <w:rPr>
          <w:rFonts w:ascii="arial" w:eastAsia="arial" w:hAnsi="arial" w:cs="arial"/>
          <w:color w:val="000000"/>
          <w:sz w:val="20"/>
          <w:lang w:val="en-US" w:eastAsia="en-US" w:bidi="ar-SA"/>
        </w:rPr>
        <w:t xml:space="preserve"> provides for escalating punishment for first and subsequent contraventions of the Act by licensees including a suspension of 10-15 days for a first breach of s. 33 of the Act for selling liquor to minors, in addition to a monetary penalty of $7,500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48 of the Act provides for offences and penalties whereby a person who contravenes the Act commits an offence. A distinction is made between an individual who commits the offence and a corporation or licensee. In the case of an individual convicted of an offence under s. 33, the punishment may be a fine of not more than $10,000 or imprisonment. In the case of a corporation or licensee, the punishment may be a fine of not more than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structure and purpose of the legislation was generally described in </w:t>
      </w:r>
      <w:r>
        <w:rPr>
          <w:rFonts w:ascii="arial" w:eastAsia="arial" w:hAnsi="arial" w:cs="arial"/>
          <w:i/>
          <w:color w:val="000000"/>
          <w:sz w:val="20"/>
          <w:lang w:val="en-US" w:eastAsia="en-US" w:bidi="ar-SA"/>
        </w:rPr>
        <w:t>Miller's Landing Pub Ltd. v. British Columbia (General Manager) Liquor and Licensing Branch)</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2009 BCSC 1352</w:t>
        </w:r>
      </w:hyperlink>
      <w:r>
        <w:rPr>
          <w:rFonts w:ascii="arial" w:eastAsia="arial" w:hAnsi="arial" w:cs="arial"/>
          <w:color w:val="000000"/>
          <w:sz w:val="20"/>
          <w:lang w:val="en-US" w:eastAsia="en-US" w:bidi="ar-SA"/>
        </w:rPr>
        <w:t xml:space="preserve"> at paras. 5-7 and 12 (</w:t>
      </w:r>
      <w:r>
        <w:rPr>
          <w:rFonts w:ascii="arial" w:eastAsia="arial" w:hAnsi="arial" w:cs="arial"/>
          <w:i/>
          <w:color w:val="000000"/>
          <w:sz w:val="20"/>
          <w:lang w:val="en-US" w:eastAsia="en-US" w:bidi="ar-SA"/>
        </w:rPr>
        <w:t>Miller's Landing</w:t>
      </w:r>
      <w:r>
        <w:rPr>
          <w:rFonts w:ascii="arial" w:eastAsia="arial" w:hAnsi="arial" w:cs="arial"/>
          <w:color w:val="000000"/>
          <w:sz w:val="20"/>
          <w:lang w:val="en-US" w:eastAsia="en-US" w:bidi="ar-SA"/>
        </w:rPr>
        <w:t>). The Act is public safety legislation that balances the competing interests of various parties, including the interests of licensees to maximize profits (</w:t>
      </w:r>
      <w:r>
        <w:rPr>
          <w:rFonts w:ascii="arial" w:eastAsia="arial" w:hAnsi="arial" w:cs="arial"/>
          <w:i/>
          <w:color w:val="000000"/>
          <w:sz w:val="20"/>
          <w:lang w:val="en-US" w:eastAsia="en-US" w:bidi="ar-SA"/>
        </w:rPr>
        <w:t>Miller's Landing</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public safety legislation that imposes punishment for contravention, s. 20 of the Act creates what was called in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a "public welfare offence" or strict liability offence which has its aim the promotion of higher standards of care in the business of the sale of liquor. In </w:t>
      </w:r>
      <w:r>
        <w:rPr>
          <w:rFonts w:ascii="arial" w:eastAsia="arial" w:hAnsi="arial" w:cs="arial"/>
          <w:i/>
          <w:color w:val="000000"/>
          <w:sz w:val="20"/>
          <w:lang w:val="en-US" w:eastAsia="en-US" w:bidi="ar-SA"/>
        </w:rPr>
        <w:t>Whistler Mountain Ski Corp. v. British Columbia (General Manager Liquor Control and Licensing Branch)</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2002 BCCA 426</w:t>
        </w:r>
      </w:hyperlink>
      <w:r>
        <w:rPr>
          <w:rFonts w:ascii="arial" w:eastAsia="arial" w:hAnsi="arial" w:cs="arial"/>
          <w:color w:val="000000"/>
          <w:sz w:val="20"/>
          <w:lang w:val="en-US" w:eastAsia="en-US" w:bidi="ar-SA"/>
        </w:rPr>
        <w:t xml:space="preserve"> at paras. 20, 29 and 41, </w:t>
      </w:r>
      <w:hyperlink r:id="rId40" w:history="1">
        <w:r>
          <w:rPr>
            <w:rFonts w:ascii="arial" w:eastAsia="arial" w:hAnsi="arial" w:cs="arial"/>
            <w:i/>
            <w:color w:val="0077CC"/>
            <w:sz w:val="20"/>
            <w:u w:val="single"/>
            <w:shd w:val="clear" w:color="auto" w:fill="FFFFFF"/>
            <w:lang w:val="en-US" w:eastAsia="en-US" w:bidi="ar-SA"/>
          </w:rPr>
          <w:t>171 B.C.A.C. 231</w:t>
        </w:r>
      </w:hyperlink>
      <w:r>
        <w:rPr>
          <w:rFonts w:ascii="arial" w:eastAsia="arial" w:hAnsi="arial" w:cs="arial"/>
          <w:color w:val="000000"/>
          <w:sz w:val="20"/>
          <w:lang w:val="en-US" w:eastAsia="en-US" w:bidi="ar-SA"/>
        </w:rPr>
        <w:t xml:space="preserve">, the British Columbia Court of Appeal acknowledged that the Act is public welfare legislation to which a defence of due diligence or reasonable diligence is available to proceedings under s. 20. This has been the consistent interpretation since </w:t>
      </w:r>
      <w:r>
        <w:rPr>
          <w:rFonts w:ascii="arial" w:eastAsia="arial" w:hAnsi="arial" w:cs="arial"/>
          <w:i/>
          <w:color w:val="000000"/>
          <w:sz w:val="20"/>
          <w:lang w:val="en-US" w:eastAsia="en-US" w:bidi="ar-SA"/>
        </w:rPr>
        <w:t>R. v. Larocque</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(1958), 120 C.C.C. 246</w:t>
        </w:r>
      </w:hyperlink>
      <w:r>
        <w:rPr>
          <w:rFonts w:ascii="arial" w:eastAsia="arial" w:hAnsi="arial" w:cs="arial"/>
          <w:color w:val="000000"/>
          <w:sz w:val="20"/>
          <w:lang w:val="en-US" w:eastAsia="en-US" w:bidi="ar-SA"/>
        </w:rPr>
        <w:t xml:space="preserve"> as described by the Supreme Court of Canada in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at 1317. Both parties agreed here that the Act was a public welfare statute as the term was used in </w:t>
      </w:r>
      <w:r>
        <w:rPr>
          <w:rFonts w:ascii="arial" w:eastAsia="arial" w:hAnsi="arial" w:cs="arial"/>
          <w:i/>
          <w:color w:val="000000"/>
          <w:sz w:val="20"/>
          <w:lang w:val="en-US" w:eastAsia="en-US" w:bidi="ar-SA"/>
        </w:rPr>
        <w:t>Sault St. Marie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scheme of the legislation is that public safety in the distribution of liquor is maintained through the establishment of high standards in the industry for compliance with statutes and regulations. Licensees control policies, practices, and procedures specifically designed to ensure compliance with statutes and regulations, in this case, the sale of liquor to minors. Control by those in charge of business activities that may endanger the public was described in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at 1322 as "vital to promote the observance of regulations designed to avoid that danger". Licensees who undertake reasonable precautionary measures against selling liquor to minors are encouraged to seek even higher standards because the amount of care that is taken goes to the defence of due diligence in the event of a contravention of the Act. Conviction will have a deterrent effect only if the licensee is encouraged to have better and stricter standards. If it matters not how high the standards are that are employed, then businesses will not be encouraged to impose the highest standards in order to avoid contravention of the legislation, and public safety in the sale of liquor to minors will suffer generally as a result. As phrased in </w:t>
      </w:r>
      <w:r>
        <w:rPr>
          <w:rFonts w:ascii="arial" w:eastAsia="arial" w:hAnsi="arial" w:cs="arial"/>
          <w:i/>
          <w:color w:val="000000"/>
          <w:sz w:val="20"/>
          <w:lang w:val="en-US" w:eastAsia="en-US" w:bidi="ar-SA"/>
        </w:rPr>
        <w:t>Sault St. Marie</w:t>
      </w:r>
      <w:r>
        <w:rPr>
          <w:rFonts w:ascii="arial" w:eastAsia="arial" w:hAnsi="arial" w:cs="arial"/>
          <w:color w:val="000000"/>
          <w:sz w:val="20"/>
          <w:lang w:val="en-US" w:eastAsia="en-US" w:bidi="ar-SA"/>
        </w:rPr>
        <w:t xml:space="preserve"> at 1311: "If a person is already taking every reasonable precautionary measure, is he likely to take additional measures, knowing that however much care he takes, it will not serve as a defence in the event of a breach?" In this way, pressure is put upon licensees to do their whole duty in the interest of public safety. Good practices in supervision, inspection, and observance promote efficiency and the welfare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important to note what the legislation does not contain. There is no provision whereby an act or thing done or omitted to be done by an officer, employee or agent of the corporation or licensee acting in the course of his employment or in the performance of his duties is also deemed to be an act or thing done or omitted to be done by the corporation or licensee. A provision of that nature was interpreted in </w:t>
      </w:r>
      <w:r>
        <w:rPr>
          <w:rFonts w:ascii="arial" w:eastAsia="arial" w:hAnsi="arial" w:cs="arial"/>
          <w:i/>
          <w:color w:val="000000"/>
          <w:sz w:val="20"/>
          <w:lang w:val="en-US" w:eastAsia="en-US" w:bidi="ar-SA"/>
        </w:rPr>
        <w:t>R. v. Safety-Kleen Canada Inc.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145 D.L.R. (4th) 276</w:t>
        </w:r>
      </w:hyperlink>
      <w:r>
        <w:rPr>
          <w:rFonts w:ascii="arial" w:eastAsia="arial" w:hAnsi="arial" w:cs="arial"/>
          <w:color w:val="000000"/>
          <w:sz w:val="20"/>
          <w:lang w:val="en-US" w:eastAsia="en-US" w:bidi="ar-SA"/>
        </w:rPr>
        <w:t xml:space="preserve"> at 283, 18, </w:t>
      </w:r>
      <w:hyperlink r:id="rId42" w:history="1">
        <w:r>
          <w:rPr>
            <w:rFonts w:ascii="arial" w:eastAsia="arial" w:hAnsi="arial" w:cs="arial"/>
            <w:i/>
            <w:color w:val="0077CC"/>
            <w:sz w:val="20"/>
            <w:u w:val="single"/>
            <w:shd w:val="clear" w:color="auto" w:fill="FFFFFF"/>
            <w:lang w:val="en-US" w:eastAsia="en-US" w:bidi="ar-SA"/>
          </w:rPr>
          <w:t>98 O.A.C. 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Safety-Kleen</w:t>
      </w:r>
      <w:r>
        <w:rPr>
          <w:rFonts w:ascii="arial" w:eastAsia="arial" w:hAnsi="arial" w:cs="arial"/>
          <w:color w:val="000000"/>
          <w:sz w:val="20"/>
          <w:lang w:val="en-US" w:eastAsia="en-US" w:bidi="ar-SA"/>
        </w:rPr>
        <w:t>) as making the conduct, including a failure to act of an employee, the conduct of the corporate employer where that conduct occurred in the course of the employee's employment. This becomes relevant in strict liability offences that require an element of fault, as opposed to absolute liability offences where the attribution of the employee's conduct to the corporate employer suffices to render the corporate employer vicariously liable for the offence. The statutory language suffices in that circumstance to bring the conduct component home to the corporate employer, but not the fault element which must still be attributed to the corporate employer through the failure to establish due diligence in an offence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described in </w:t>
      </w:r>
      <w:r>
        <w:rPr>
          <w:rFonts w:ascii="arial" w:eastAsia="arial" w:hAnsi="arial" w:cs="arial"/>
          <w:i/>
          <w:color w:val="000000"/>
          <w:sz w:val="20"/>
          <w:lang w:val="en-US" w:eastAsia="en-US" w:bidi="ar-SA"/>
        </w:rPr>
        <w:t>Safety-Kleen</w:t>
      </w:r>
      <w:r>
        <w:rPr>
          <w:rFonts w:ascii="arial" w:eastAsia="arial" w:hAnsi="arial" w:cs="arial"/>
          <w:color w:val="000000"/>
          <w:sz w:val="20"/>
          <w:lang w:val="en-US" w:eastAsia="en-US" w:bidi="ar-SA"/>
        </w:rPr>
        <w:t xml:space="preserve"> at 284, the legislature can use language that would impose vicarious liability on corporate employers for all offences committed by employees in the course of their employment. This is not the case here. There is no vicarious liability for corporate employers. If the legislature wanted to expand the corporate employer's liability under the legislation so that a corporate employer was liable for all breaches of the Act committed by an employee in the course of his employment, specific language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reviewing the legislation and regulations here, it is clear that a distinction is made between licensees as corporations and their employees, officers, directors and agents. There is no provision that the conduct of an employee acting in the course of his employment is directly attributable to the licensee, especially as it relates to a component of fault. Therefore, the doctrine of respondeat superior has no application to the determination of the blameworthiness of the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 in this case is not whether the defence of due diligence applies. It does and the general manager found that it did. Rather, the issue is how to apply the defence as it pertains to the requirement that the defence prove on a balance of probabilities that the employee was not the directing mind of the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General Manager applied the test as stated in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at paras. 27-28. In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it was alleged that drug dealing was taking place in the licensee's night club and that the licensee was permitting this to happen. The bartender was found to have directed an undercover officer to a patron from whom ecstasy could be purchased within the establishment. The patron was a friend of the general manager. At the hearing, it had been found that the bartender was guilty of permitting unlawful activity and that conduct was attributed to the licensee without stating a basis for doing so. The court found that the General Manager was obligated to consider whether the bartender was the directing mind and remitted the matter back for consideration. In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Pitfield J. began the analysis at paras. 25-26 with a statement of the defence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it must prove, on a balance of probabilities, each of two facts: that the employee was not the directing mind of the licensee in relation to that part of the licensee's operations in connection with which the unlawful conduct arose, and, if that proof is provided, that those who were in fact responsible for that part of the licensee's operations were duly diligent in attempting to prevent the occurrence of unlawful conduct or activities. In this regard, the reasons of the Supreme Court of Canada in </w:t>
      </w:r>
      <w:r>
        <w:rPr>
          <w:rFonts w:ascii="arial" w:eastAsia="arial" w:hAnsi="arial" w:cs="arial"/>
          <w:i/>
          <w:color w:val="000000"/>
          <w:sz w:val="20"/>
          <w:lang w:val="en-US" w:eastAsia="en-US" w:bidi="ar-SA"/>
        </w:rPr>
        <w:t>R. v. Sault Ste. Marie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are relevant at p. 1331: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comment on the defence of reasonable care in this context should be added. Since the issue is whether the defendant is guilty of an offence, the doctrine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has no application. The due diligence which must be established is that of the accused alone. Where an employer is charged in respect of an act committed by an employee acting in the course of employment, the question will be whether the act took place without the accused's direction or approval, thus negating wilful involvement of the accused, and whether the accused exercised all reasonable care by establishing a proper system to prevent commission of the offence and by taking reasonable steps to ensure the effective operation of the system. The availability of the defence to a corporation will depend on whether such due diligence was taken by those who are the directing mind and will of the corporation, whose acts are therefore in law the acts of the corporation itself. For a useful discussion of this matter in the context of a statutory defence of due diligence see </w:t>
      </w:r>
      <w:r>
        <w:rPr>
          <w:rFonts w:ascii="arial" w:eastAsia="arial" w:hAnsi="arial" w:cs="arial"/>
          <w:i/>
          <w:color w:val="000000"/>
          <w:sz w:val="20"/>
          <w:lang w:val="en-US" w:eastAsia="en-US" w:bidi="ar-SA"/>
        </w:rPr>
        <w:t>Tesco Supermarkets v. Nattras</w:t>
      </w:r>
      <w:r>
        <w:rPr>
          <w:rFonts w:ascii="arial" w:eastAsia="arial" w:hAnsi="arial" w:cs="arial"/>
          <w:color w:val="000000"/>
          <w:sz w:val="20"/>
          <w:lang w:val="en-US" w:eastAsia="en-US" w:bidi="ar-SA"/>
        </w:rPr>
        <w:t>, [1979] A.C. 153.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Later, in </w:t>
      </w:r>
      <w:r>
        <w:rPr>
          <w:rFonts w:ascii="arial" w:eastAsia="arial" w:hAnsi="arial" w:cs="arial"/>
          <w:i/>
          <w:color w:val="000000"/>
          <w:sz w:val="20"/>
          <w:lang w:val="en-US" w:eastAsia="en-US" w:bidi="ar-SA"/>
        </w:rPr>
        <w:t>Canadian Dredge and Dock Company Ltd. v. The Queen,</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[1985] 1 S.C.R. 662</w:t>
        </w:r>
      </w:hyperlink>
      <w:r>
        <w:rPr>
          <w:rFonts w:ascii="arial" w:eastAsia="arial" w:hAnsi="arial" w:cs="arial"/>
          <w:color w:val="000000"/>
          <w:sz w:val="20"/>
          <w:lang w:val="en-US" w:eastAsia="en-US" w:bidi="ar-SA"/>
        </w:rPr>
        <w:t>, (S.C.C.), Estey J. said the following at 685: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test is that the identity of the directing mind and the company coincide so long as the actions of the former are performed by the manager within the sector of corporation operation assigned to him by the corporation. ... The requirement is better stated when it is said that the act in question must be done by the directing force of the company when carrying out his assigned function in the corporation. It is no defence to the application of this doctrine that a criminal act by a corporate employee cannot be within the scope of his authority unless expressly ordered to do the act in question. Such a condition would reduce the rule to virtually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learned justice then said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this instance, the General Manager concluded that the bartender did not adhere to the licensee's policy of zero tolerance of drugs in the establishment so that the licensee was liable. The General Manager did not address the question whether the employee was the licensee's directing mind and will in the area of operations relevant to the unlawful conduct, namely the supervision of patrons wherever seated in the establishment. If the bartender were found to be the directing mind of the licensee for that purpose, his actions would be those of the licensee so that his lack of due diligence would necessarily be that of the employer. If he was not the directing mind and will for that purpose, one would be required to decide who was. Such person need not be an officer or director of the licensee. It would be the individual or individuals, perhaps the general manager or the shift manager or supervisor, who had sufficient authority in respect of the sphere of relevant operations to be worthy of the appellation 'directing mind and will' of the licensee.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Having failed to consider the role of the bartender in the licensee's operations, the General Manager overlooked the remaining question, namely whether those who were the directing mind and will of the licensee in relation to the supervision of patrons' activities on the night in question, if not the bartender, had been duly diligent in their attempts to prevent unlawful conduct by taking reasonable steps to supervise staff and patrons. That inquiry requires, of course, consideration of who, on the premises on November 9, 2001, was the licensee's directing mind and will in the establishment in so far as supervision was concerned and an answer to the question whether, on the balance of probabilities, that individual or those individuals, be it the general manager or others in authority on site at the time, took the steps reasonably to be expected of them that night to prevent drug-trafficking.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argued by the respondent, this statement of the test for whether an employee was the directing mind requires that the individual have sufficient authority in respect of the sphere of relevant operations to be worthy of the appellation. This requires consideration of who on the premises at the time was the directing mind in the establishment as far as supervision was concerned and whether that individual on site at the time took reasonable steps. The respondent argued that the requirement that the directing mind be on site is a development specific to the liquor control industry. On that basis, the respondent said that the leading case on the legal test for who is the directing mind,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was not applicable or was distinguishable. The respondent said that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has been consistently applied as the test for the directing mind within the specialized area of liquor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order to assess this position, I will first review the British Columbia liquor control and licensing cases cited by the respondent that refer to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then I will scrutinize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before specifically considering the test in </w:t>
      </w:r>
      <w:r>
        <w:rPr>
          <w:rFonts w:ascii="arial" w:eastAsia="arial" w:hAnsi="arial" w:cs="arial"/>
          <w:i/>
          <w:color w:val="000000"/>
          <w:sz w:val="20"/>
          <w:lang w:val="en-US" w:eastAsia="en-US" w:bidi="ar-SA"/>
        </w:rPr>
        <w:t>Rhône.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Miller's Landing</w:t>
      </w:r>
      <w:r>
        <w:rPr>
          <w:rFonts w:ascii="arial" w:eastAsia="arial" w:hAnsi="arial" w:cs="arial"/>
          <w:color w:val="000000"/>
          <w:sz w:val="20"/>
          <w:lang w:val="en-US" w:eastAsia="en-US" w:bidi="ar-SA"/>
        </w:rPr>
        <w:t xml:space="preserve">, the adjudicator found that the licensee contravened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supplying liquor to two minors. The adjudicator considered the statement of the defence of due diligence from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but the matter turned upon whether the licensee had taken all reasonable steps to prevent the contravention, not upon whether the employee involved was the directing mind of the corporate licensee. As stated in paras. 60-61, the adjudicator had found that the manager who served the second minor was the directing mind of the licensee, but did not reach a conclusion with respect to the non-managing employee who had served the first minor. The implication was that the server was not considered the directing mind. However, there had been no challenge to the adjudicator's finding that the manager was the directing mind of the licensee and the case did not turn upon this issue. There was no consideration given to the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requirement that the directing mind be the onsite supervisor. There was no consideration of </w:t>
      </w:r>
      <w:r>
        <w:rPr>
          <w:rFonts w:ascii="arial" w:eastAsia="arial" w:hAnsi="arial" w:cs="arial"/>
          <w:i/>
          <w:color w:val="000000"/>
          <w:sz w:val="20"/>
          <w:lang w:val="en-US" w:eastAsia="en-US" w:bidi="ar-SA"/>
        </w:rPr>
        <w:t>Rhône.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Cambie Malone's</w:t>
      </w:r>
      <w:r>
        <w:rPr>
          <w:rFonts w:ascii="arial" w:eastAsia="arial" w:hAnsi="arial" w:cs="arial"/>
          <w:color w:val="000000"/>
          <w:sz w:val="20"/>
          <w:lang w:val="en-US" w:eastAsia="en-US" w:bidi="ar-SA"/>
        </w:rPr>
        <w:t>, drug transactions took place in the licensee's premises that were watched by a bartender and doorman. The adjudicator found that the licensee had known about and permitted the activity and had failed to take reasonable steps to prevent illegal drug activity from occurring. As found at para. 58, the adjudicator did not consider whether the bartender and doorman were directing minds because the licensee knew that illegal activities were occurring. The drug transactions were blatant. There had been no finding as to who was the directing mind of the corporation and it did not matter because the licensee had failed, in any event, to establish that it had been duly diligent (</w:t>
      </w:r>
      <w:r>
        <w:rPr>
          <w:rFonts w:ascii="arial" w:eastAsia="arial" w:hAnsi="arial" w:cs="arial"/>
          <w:i/>
          <w:color w:val="000000"/>
          <w:sz w:val="20"/>
          <w:lang w:val="en-US" w:eastAsia="en-US" w:bidi="ar-SA"/>
        </w:rPr>
        <w:t>Cambie Malone's</w:t>
      </w:r>
      <w:r>
        <w:rPr>
          <w:rFonts w:ascii="arial" w:eastAsia="arial" w:hAnsi="arial" w:cs="arial"/>
          <w:color w:val="000000"/>
          <w:sz w:val="20"/>
          <w:lang w:val="en-US" w:eastAsia="en-US" w:bidi="ar-SA"/>
        </w:rPr>
        <w:t xml:space="preserve"> at para. 59). There was no consideration of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This aspect of the decision was upheld on appeal (</w:t>
      </w:r>
      <w:r>
        <w:rPr>
          <w:rFonts w:ascii="arial" w:eastAsia="arial" w:hAnsi="arial" w:cs="arial"/>
          <w:i/>
          <w:color w:val="000000"/>
          <w:sz w:val="20"/>
          <w:lang w:val="en-US" w:eastAsia="en-US" w:bidi="ar-SA"/>
        </w:rPr>
        <w:t>Cambie Malone's Corp. v. British Columbia (General Manager, Liquor Control and Licensing Branch),</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2011 BCCA 439</w:t>
        </w:r>
      </w:hyperlink>
      <w:r>
        <w:rPr>
          <w:rFonts w:ascii="arial" w:eastAsia="arial" w:hAnsi="arial" w:cs="arial"/>
          <w:color w:val="000000"/>
          <w:sz w:val="20"/>
          <w:lang w:val="en-US" w:eastAsia="en-US" w:bidi="ar-SA"/>
        </w:rPr>
        <w:t>). There was no specific consideration of the directing mind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One More Glassy Ltd. v. British Columbia (Ministry of Public Safety and Solicitor General)</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2009 BCSC 1371</w:t>
        </w:r>
      </w:hyperlink>
      <w:r>
        <w:rPr>
          <w:rFonts w:ascii="arial" w:eastAsia="arial" w:hAnsi="arial" w:cs="arial"/>
          <w:color w:val="000000"/>
          <w:sz w:val="20"/>
          <w:lang w:val="en-US" w:eastAsia="en-US" w:bidi="ar-SA"/>
        </w:rPr>
        <w:t xml:space="preserve">, the contravention involved not taking liquor from patrons within a half hour after the time stated on the licence for hours of liquor service. The adjudicator's finding that the on site manager was in control of the premises and the controlling mind was not in issue. Rather, the case turned upon the finding that the licensee had presented only rudimentary evidence of staff training and no evidence of training of the manager so that reasonable diligence was not established. In this case, as in most of the cases that cite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the point taken from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is the statement of the defence in para. 25. There was no consideration of </w:t>
      </w:r>
      <w:r>
        <w:rPr>
          <w:rFonts w:ascii="arial" w:eastAsia="arial" w:hAnsi="arial" w:cs="arial"/>
          <w:i/>
          <w:color w:val="000000"/>
          <w:sz w:val="20"/>
          <w:lang w:val="en-US" w:eastAsia="en-US" w:bidi="ar-SA"/>
        </w:rPr>
        <w:t>Rhône.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Before considering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and the background to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it is worthwhile to return to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for a moment. In para. 25, the learned justice had described the defence of due diligence as requiring proof that the employee was not the directing mind of the licensee in regard to the activity in question, and then, that those who were responsible for that activity had taken due regard to prevent the occurrence of unlawful conduct or activities. In para. 26, the learned justice then appeared to state the test for a directing mind, quoting from </w:t>
      </w:r>
      <w:r>
        <w:rPr>
          <w:rFonts w:ascii="arial" w:eastAsia="arial" w:hAnsi="arial" w:cs="arial"/>
          <w:i/>
          <w:color w:val="000000"/>
          <w:sz w:val="20"/>
          <w:lang w:val="en-US" w:eastAsia="en-US" w:bidi="ar-SA"/>
        </w:rPr>
        <w:t>Canadian Dredge &amp; Dock Company Ltd. v. The Queen</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[1985] 1 S.C.R. 662</w:t>
        </w:r>
      </w:hyperlink>
      <w:r>
        <w:rPr>
          <w:rFonts w:ascii="arial" w:eastAsia="arial" w:hAnsi="arial" w:cs="arial"/>
          <w:color w:val="000000"/>
          <w:sz w:val="20"/>
          <w:lang w:val="en-US" w:eastAsia="en-US" w:bidi="ar-SA"/>
        </w:rPr>
        <w:t xml:space="preserve"> at 685, </w:t>
      </w:r>
      <w:hyperlink r:id="rId43" w:history="1">
        <w:r>
          <w:rPr>
            <w:rFonts w:ascii="arial" w:eastAsia="arial" w:hAnsi="arial" w:cs="arial"/>
            <w:i/>
            <w:color w:val="0077CC"/>
            <w:sz w:val="20"/>
            <w:u w:val="single"/>
            <w:shd w:val="clear" w:color="auto" w:fill="FFFFFF"/>
            <w:lang w:val="en-US" w:eastAsia="en-US" w:bidi="ar-SA"/>
          </w:rPr>
          <w:t>19 D.L.R. (4th) 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The effect of the statement there is that as long as the person is performing within the sector of work assigned to him by the corporation, then the identity of the directing mind and the corporation coincide. However, the quote referred to from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concerned whether an employee, who was also the directing mind of the corporation, was acting within his scope of employment as it pertained to the attribution of the criminal action of agents to an employing corporate principle, not how to determine whether an employee is a directing mind of the corporation. The full paragraph from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of attribution of criminal actions of agents to the employing corporate principal in order to find criminal liability in the corporation only operates where the directing mind is acting within the scope of his </w:t>
      </w:r>
      <w:r>
        <w:rPr>
          <w:rFonts w:ascii="arial" w:eastAsia="arial" w:hAnsi="arial" w:cs="arial"/>
          <w:color w:val="000000"/>
          <w:sz w:val="20"/>
          <w:u w:val="single"/>
          <w:lang w:val="en-US" w:eastAsia="en-US" w:bidi="ar-SA"/>
        </w:rPr>
        <w:t>authority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Beamish</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[1966] O.J. No. 1055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890 and 892, and </w:t>
      </w:r>
      <w:r>
        <w:rPr>
          <w:rFonts w:ascii="arial" w:eastAsia="arial" w:hAnsi="arial" w:cs="arial"/>
          <w:i/>
          <w:color w:val="000000"/>
          <w:sz w:val="20"/>
          <w:lang w:val="en-US" w:eastAsia="en-US" w:bidi="ar-SA"/>
        </w:rPr>
        <w:t>St. Lawrence</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[1969] O.J. No. 1326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320), in the sense of acting in the course of the corporations' business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(4th ed.), vol. 14, p. 30, paragraph 34,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Scattered throughout the submissions on behalf of the four appellants, was a translation of the directing mind rule to a requirement that for its application the directing mind must, at all times, be acting in the scope of his </w:t>
      </w:r>
      <w:r>
        <w:rPr>
          <w:rFonts w:ascii="arial" w:eastAsia="arial" w:hAnsi="arial" w:cs="arial"/>
          <w:color w:val="000000"/>
          <w:sz w:val="20"/>
          <w:u w:val="single"/>
          <w:lang w:val="en-US" w:eastAsia="en-US" w:bidi="ar-SA"/>
        </w:rPr>
        <w:t>employment</w:t>
      </w:r>
      <w:r>
        <w:rPr>
          <w:rFonts w:ascii="arial" w:eastAsia="arial" w:hAnsi="arial" w:cs="arial"/>
          <w:color w:val="000000"/>
          <w:sz w:val="20"/>
          <w:lang w:val="en-US" w:eastAsia="en-US" w:bidi="ar-SA"/>
        </w:rPr>
        <w:t xml:space="preserve">. Conversely, the argument went, if the directing mind was acting totally outside the 'scope of that employment', the attribution of the acts of the directing mind to the corporate employer would not occur. The terminological problems arise from the fact that the concept of vicarious liability in the law of torts has been traditionally fenced in by the concept of the employee acting within 'the scope of his employment' and not, in the classic words, "on a frolic of his own". The identification theory, however, is not concerned with the scope of employment in the tortious sense. "Scope of employment" in the </w:t>
      </w:r>
      <w:r>
        <w:rPr>
          <w:rFonts w:ascii="arial" w:eastAsia="arial" w:hAnsi="arial" w:cs="arial"/>
          <w:i/>
          <w:color w:val="000000"/>
          <w:sz w:val="20"/>
          <w:lang w:val="en-US" w:eastAsia="en-US" w:bidi="ar-SA"/>
        </w:rPr>
        <w:t>St. Lawrence</w:t>
      </w:r>
      <w:r>
        <w:rPr>
          <w:rFonts w:ascii="arial" w:eastAsia="arial" w:hAnsi="arial" w:cs="arial"/>
          <w:color w:val="000000"/>
          <w:sz w:val="20"/>
          <w:lang w:val="en-US" w:eastAsia="en-US" w:bidi="ar-SA"/>
        </w:rPr>
        <w:t xml:space="preserve"> judgment,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the other discussions of that term in Canadian law have reference to the field of operations delegated to the directing mind. The charge by His Lordship to the jury makes this abundantly clear, as does the Court of Appeal in its analysis of this defence. The Court in </w:t>
      </w:r>
      <w:r>
        <w:rPr>
          <w:rFonts w:ascii="arial" w:eastAsia="arial" w:hAnsi="arial" w:cs="arial"/>
          <w:i/>
          <w:color w:val="000000"/>
          <w:sz w:val="20"/>
          <w:lang w:val="en-US" w:eastAsia="en-US" w:bidi="ar-SA"/>
        </w:rPr>
        <w:t>St. Lawrence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describing the elements of the delegation theory concluded by adding that attribution to the corporation occurred only so long as the directing will "was acting in the scope of his employment." The expression comes from the law of tort and agency and from master and servant law. It is not apt in relation to the identification theory. It smacks of vicarious liability and it invites the defence that criminal actions must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be beyond the scope of an employee's duty and authority. The learned trial judge, in directing the jury, expressed it more accurately: "... so long as he was acting within the scope of the area of the work assigned to him." In </w:t>
      </w:r>
      <w:r>
        <w:rPr>
          <w:rFonts w:ascii="arial" w:eastAsia="arial" w:hAnsi="arial" w:cs="arial"/>
          <w:i/>
          <w:color w:val="000000"/>
          <w:sz w:val="20"/>
          <w:lang w:val="en-US" w:eastAsia="en-US" w:bidi="ar-SA"/>
        </w:rPr>
        <w:t>Tesco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171, Lord Reid employed the phrase acting "within the scope of delegation" of the corporation's business. The essence of the test is that the identity of the directing mind and the company coincide so long as the actions of the former are performed by the manager within the sector of corporation operation assigned to him by the corporation. The sector may be functional, or geographic, or may embrace the entire undertaking of the corporation. The requirement is better stated when it is said that the act in question must be done by the directing force of the company when carrying out his assigned function in the corporation. It is no defence to the application of this doctrine that a criminal act by a corporate employee cannot be within the scope of his authority unless expressly ordered to do the act in question. Such a condition would reduce the rule to virtually nothing. Acts of the </w:t>
      </w:r>
      <w:r>
        <w:rPr>
          <w:rFonts w:ascii="arial" w:eastAsia="arial" w:hAnsi="arial" w:cs="arial"/>
          <w:i/>
          <w:color w:val="000000"/>
          <w:sz w:val="20"/>
          <w:lang w:val="en-US" w:eastAsia="en-US" w:bidi="ar-SA"/>
        </w:rPr>
        <w:t>ego</w:t>
      </w:r>
      <w:r>
        <w:rPr>
          <w:rFonts w:ascii="arial" w:eastAsia="arial" w:hAnsi="arial" w:cs="arial"/>
          <w:color w:val="000000"/>
          <w:sz w:val="20"/>
          <w:lang w:val="en-US" w:eastAsia="en-US" w:bidi="ar-SA"/>
        </w:rPr>
        <w:t xml:space="preserve"> of a corporation taken within the assigned managerial area may give rise to corporate criminal responsibility, whether or not there be formal delegation; whether or not there be awareness of the activity in the board of directors or the officers of the company; and, as discussed below, whether or not there be express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dealt with the fundamental principles that apply to the liability of a corporation in criminal law. The question was whether misconduct of a directing mind of the corporation, which was at the same time outside the scope of his employment, was conduct attributable to the corporation for purposes of a criminal offence requiring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The court was not dealing with an offence of strict liability which was acknowledged to give rise to a defence of due diligence following </w:t>
      </w:r>
      <w:r>
        <w:rPr>
          <w:rFonts w:ascii="arial" w:eastAsia="arial" w:hAnsi="arial" w:cs="arial"/>
          <w:i/>
          <w:color w:val="000000"/>
          <w:sz w:val="20"/>
          <w:lang w:val="en-US" w:eastAsia="en-US" w:bidi="ar-SA"/>
        </w:rPr>
        <w:t>Sault St. Marie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at 674). Rather, the court was concerned with the identification theory whereby the element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produced within the corporate entity through an employee who is a directing mind of the company acting within the scope of his employment. The directing mind must be a primary representative of the corporation in the sense of the "ego" or "centre" of the employer corporation, and not just a vicarious liability employee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at paras. 20, 29). This explains Estey J.'s statement that "... the act in question must be done by the directing force of the company when carrying out his assigned function in the corporation" (at 685).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chose not to apply the doctrine of vicarious liability simpliciter in the determination of corporate criminal responsibility in criminal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offences. It specifically rejected establishing vicarious criminal liability in a corporation for the wrongful acts of all grades and classes of employees, as had developed in the United States (at 686). Rather, the directing mind doctrine or identification doctrine provided a rational relationship for criminal responsibility provided that the employee who was the "... core, mind, and spirit of the corporation ..." acted within the scope of his employment. As such, the doctrine of identification was described as follows at 693: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corporation is but a creature of statute, general or special, and none of the provincial corporation statutes and business corporations statutes, or the federal equivalents, contain any discussion of criminal liability or liability in the common law generally by reason of the doctrine of identification. It is a court-adopted principle put in place for the purpose of including the corporation in the pattern of criminal law in a rational relationship to that of the natural person. The identity doctrine merges the board of directors, the managing director, the superintendent, the manager or anyone else delegated by the board of directors to whom is delegated the governing executive authority of the corporation, and the conduct of any of the merged entities is thereby attributed to the corporation. In </w:t>
      </w:r>
      <w:r>
        <w:rPr>
          <w:rFonts w:ascii="arial" w:eastAsia="arial" w:hAnsi="arial" w:cs="arial"/>
          <w:i/>
          <w:color w:val="000000"/>
          <w:sz w:val="20"/>
          <w:lang w:val="en-US" w:eastAsia="en-US" w:bidi="ar-SA"/>
        </w:rPr>
        <w:t>St. Lawrence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other authorities, a corporation may, by this means, have more than one directing mind. This must be particularly so in a country such as Canada where corporate operations are frequently geographically widespread. The transportation companies, for example, must of necessity operate by the delegation and subdelegation of authority from the corporate centre; by the division and subdivision of the corporate brain; and by decentralizing by delegation the guiding forces in the corporate undertaking. The application of the identification rule in </w:t>
      </w:r>
      <w:r>
        <w:rPr>
          <w:rFonts w:ascii="arial" w:eastAsia="arial" w:hAnsi="arial" w:cs="arial"/>
          <w:i/>
          <w:color w:val="000000"/>
          <w:sz w:val="20"/>
          <w:lang w:val="en-US" w:eastAsia="en-US" w:bidi="ar-SA"/>
        </w:rPr>
        <w:t>Tesco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may not accord with the realities of life in our country, however appropriate we may find to be the enunciation of the abstract principles of law there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Through application of the doctrine of the directing mind, corporations are punished only when the moral turpitude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attributable to the governing mind of the corporation. Thus, the question in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was whether the master of a tug was a directing mind of the shipowner corporation because he exercised some discretion and performed some non-navigational functions as an incident of his employment. The question arose in the context of the corporation seeking to limit its liability under s. 647(2) of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R.S.C. 1970, c. S-9 for damages caused to other vessels occurring after a collision without the shipowner's actual fault or privity. The master, Captain Kelch, had been the captain of a flotilla of tugs and barges that moved off course under the current and collided with the moored ship, Rhône.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preliminary matter, Iacobucci J. pointed out that identification of a particular individual within a corporate structure as a directing mind of that company is a question of mixed fact and law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at 515-16). Once the facts are ascertained, whether a person doing a particular thing is to be regarded as the company or merely as the company's servant or agent is a question of law (ibid.). The subtlety of this principle was addressed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paras. 34-35, </w:t>
      </w:r>
      <w:hyperlink r:id="rId48"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good example of this subtle principle can be found in </w:t>
      </w:r>
      <w:r>
        <w:rPr>
          <w:rFonts w:ascii="arial" w:eastAsia="arial" w:hAnsi="arial" w:cs="arial"/>
          <w:i/>
          <w:color w:val="000000"/>
          <w:sz w:val="20"/>
          <w:lang w:val="en-US" w:eastAsia="en-US" w:bidi="ar-SA"/>
        </w:rPr>
        <w:t>Rhône (The) v. Peter A.B. Widener (The)</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[1993] 1 S.C.R. 497</w:t>
        </w:r>
      </w:hyperlink>
      <w:r>
        <w:rPr>
          <w:rFonts w:ascii="arial" w:eastAsia="arial" w:hAnsi="arial" w:cs="arial"/>
          <w:color w:val="000000"/>
          <w:sz w:val="20"/>
          <w:lang w:val="en-US" w:eastAsia="en-US" w:bidi="ar-SA"/>
        </w:rPr>
        <w:t>, at pp. 515-16. In that case the issue was the identification of certain individuals within a corporate structure as directing minds. This is a mixed question of law and fact. However, the erroneous finding of the courts below was easily traceable to an error of law which could be extricated from the mixed question of law and fact. The extricable question of law was the issue of the functions which are required in order to be properly identified as a "directing mind" within a corporate structure (pp. 515-16). In the opinion of Iacobucci J. for the majority of the Court (at p. 526):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I think that the courts below overemphasized the significance of sub-delegation in this case. The key factor which distinguishes directing minds from normal employees is the capacity to exercise decision-making authority on matters of corporate policy, rather than merely to give effect to such policy on an operational basis, whether at head office or across the sea.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Stated differently, the lower courts committed an error in law by finding that sub-delegation was a factor identifying a person who is part of the "directing mind" of a company, when the correct legal factor characterizing a "directing mind" is in fact "the capacity to exercise decision-making authority on matters of corporate policy". This mischaracterization of the proper legal test (the legal requirements to be a "directing mind") infected or tainted the lower courts' factual conclusion that Captain Kelch was part of the directing mind. As this erroneous finding can be traced to an error in law, less deference was required and the applicable standard was one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fault or privity of the corporation denotes personal blameworthiness to the corporation as opposed to a constructive fault under the doctrine of respondeat superior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at 516). "The question that arises is at what point in the hierarchy of a company is the fault of a person employed in the organization to be treated as the fault of the company itself"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at 517). In answering this question, the Supreme Court of Canada went back to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at 520 to demonstrate the focus of inquiry and then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Estey J.'s reasons demonstrate, the focus of inquiry must be whether the impugned individual has been delegated the "governing executive authority" of the company within the scope of his or her authority. I interpret this to mean that one must determine whether the discretion conferred on an employee amounts to an express or implied delegation of executive authority to design and supervise the implementation of corporate policy rather than simply to carry out such policy. In other words, the courts must consider who has been left with the decision-making power in a relevant sphere of corporate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then was whether the master's faults were essentially the faults of the shipowner by reason of his position within the corporate hierarchy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answering that question, Iacobucci J. said at 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should be noted that the managerial complexity of shipping companies is not a novel development of which earlier formulations of the corporate identification doctrine were not cognizant. Keeping in mind Estey J.'s observations in </w:t>
      </w:r>
      <w:r>
        <w:rPr>
          <w:rFonts w:ascii="arial" w:eastAsia="arial" w:hAnsi="arial" w:cs="arial"/>
          <w:i/>
          <w:color w:val="000000"/>
          <w:sz w:val="20"/>
          <w:lang w:val="en-US" w:eastAsia="en-US" w:bidi="ar-SA"/>
        </w:rPr>
        <w:t>Canadian Dredge &amp; Dock, supra</w:t>
      </w:r>
      <w:r>
        <w:rPr>
          <w:rFonts w:ascii="arial" w:eastAsia="arial" w:hAnsi="arial" w:cs="arial"/>
          <w:color w:val="000000"/>
          <w:sz w:val="20"/>
          <w:lang w:val="en-US" w:eastAsia="en-US" w:bidi="ar-SA"/>
        </w:rPr>
        <w:t>, one cannot truly say that the authority over navigational matters enjoyed by Captain Kelch is the sort of delegation which conferred "governing executive authority" over the management of Great Lakes' ships. It is in the very nature of seafaring that the master must be invested with discretion to respond to variations in the weather, the tides, and other navigational matters. It does not flow from this necessary delegation that the master is thereby invested with the full discretion to act without guidance from supervisors in relation to matters of corporate policy, such that he can be said to have been delegated managerial authority. Nor can it be said that a master is free from control and instruction from those at Great Lakes responsible for the supervision and management of its fleet (i.e., Captain Lloyd). The fact that Captain Lloyd may have been lax in his supervision of Captain Kelch does not alter the fact that Kelch was essentially a servant of Great Lakes.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I think that the courts below overemphasized the significance of sub-delegation in this case. The key factor which distinguishes directing minds from normal employees is the capacity to exercise decision-making authority on matters of corporate policy, rather than merely to give effect to such policy on an operational basis, whether at head office or across the sea. While Captain Kelch no doubt had certain decision-making authority on navigational matters as an incident of his role as master of the tug </w:t>
      </w:r>
      <w:r>
        <w:rPr>
          <w:rFonts w:ascii="arial" w:eastAsia="arial" w:hAnsi="arial" w:cs="arial"/>
          <w:i/>
          <w:color w:val="000000"/>
          <w:sz w:val="20"/>
          <w:lang w:val="en-US" w:eastAsia="en-US" w:bidi="ar-SA"/>
        </w:rPr>
        <w:t>Ohio</w:t>
      </w:r>
      <w:r>
        <w:rPr>
          <w:rFonts w:ascii="arial" w:eastAsia="arial" w:hAnsi="arial" w:cs="arial"/>
          <w:color w:val="000000"/>
          <w:sz w:val="20"/>
          <w:lang w:val="en-US" w:eastAsia="en-US" w:bidi="ar-SA"/>
        </w:rPr>
        <w:t xml:space="preserve"> and was given important operational duties, governing authority over the management and operation of Great Lakes' tugs lay elsewhere. Therefore, I am of the view that the courts below erred in holding that Captain Kelch was part of the directing mind and will of Great Lakes. As a result, the collision between the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Widener</w:t>
      </w:r>
      <w:r>
        <w:rPr>
          <w:rFonts w:ascii="arial" w:eastAsia="arial" w:hAnsi="arial" w:cs="arial"/>
          <w:color w:val="000000"/>
          <w:sz w:val="20"/>
          <w:lang w:val="en-US" w:eastAsia="en-US" w:bidi="ar-SA"/>
        </w:rPr>
        <w:t xml:space="preserve"> did not occur with the actual fault or privity of Great 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test in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as to who is the directing mind of the corporation was applied within the regulatory offence context in </w:t>
      </w:r>
      <w:r>
        <w:rPr>
          <w:rFonts w:ascii="arial" w:eastAsia="arial" w:hAnsi="arial" w:cs="arial"/>
          <w:i/>
          <w:color w:val="000000"/>
          <w:sz w:val="20"/>
          <w:lang w:val="en-US" w:eastAsia="en-US" w:bidi="ar-SA"/>
        </w:rPr>
        <w:t>Safety-Kleen.</w:t>
      </w:r>
      <w:r>
        <w:rPr>
          <w:rFonts w:ascii="arial" w:eastAsia="arial" w:hAnsi="arial" w:cs="arial"/>
          <w:color w:val="000000"/>
          <w:sz w:val="20"/>
          <w:lang w:val="en-US" w:eastAsia="en-US" w:bidi="ar-SA"/>
        </w:rPr>
        <w:t xml:space="preserve"> After citing </w:t>
      </w:r>
      <w:r>
        <w:rPr>
          <w:rFonts w:ascii="arial" w:eastAsia="arial" w:hAnsi="arial" w:cs="arial"/>
          <w:i/>
          <w:color w:val="000000"/>
          <w:sz w:val="20"/>
          <w:lang w:val="en-US" w:eastAsia="en-US" w:bidi="ar-SA"/>
        </w:rPr>
        <w:t>Canadian Dredge &amp; Dock</w:t>
      </w:r>
      <w:r>
        <w:rPr>
          <w:rFonts w:ascii="arial" w:eastAsia="arial" w:hAnsi="arial" w:cs="arial"/>
          <w:color w:val="000000"/>
          <w:sz w:val="20"/>
          <w:lang w:val="en-US" w:eastAsia="en-US" w:bidi="ar-SA"/>
        </w:rPr>
        <w:t xml:space="preserve"> and then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at 281, Doherty J.A., for the Court, said that the inquiry must look beyond titles and job descriptions to the reality of any given situation to determine whether an employee's actual authority was sufficient to justify attributing his culpable mind to the corporation. In answering that question in </w:t>
      </w:r>
      <w:r>
        <w:rPr>
          <w:rFonts w:ascii="arial" w:eastAsia="arial" w:hAnsi="arial" w:cs="arial"/>
          <w:i/>
          <w:color w:val="000000"/>
          <w:sz w:val="20"/>
          <w:lang w:val="en-US" w:eastAsia="en-US" w:bidi="ar-SA"/>
        </w:rPr>
        <w:t>Safety-Kleen</w:t>
      </w:r>
      <w:r>
        <w:rPr>
          <w:rFonts w:ascii="arial" w:eastAsia="arial" w:hAnsi="arial" w:cs="arial"/>
          <w:color w:val="000000"/>
          <w:sz w:val="20"/>
          <w:lang w:val="en-US" w:eastAsia="en-US" w:bidi="ar-SA"/>
        </w:rPr>
        <w:t>, the court said at 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doubt that Mr. Howard had many responsibilities and was given wide discretion in the exercise of those responsibilities. It is equally clear that those, like Mr. Corcoran, who dealt with the appellant in the area, equated Mr. Howard with the appellant corporation. Neither of these facts establish the kind of governing executive authority which must exist before the identification theory will impose liability on the corporation. Mr. Howard had authority over matters arising out of the performance of the task he was employed to do. It was his job to collect and transport waste to its eventual destination in Breslau. His authority extended over all matters, like the preparation of necessary documentation, arising out of the performance of those functions. I find no evidence, however, that he had authority to devise or develop corporate policy or make corporate decisions which went beyond those arising out of the transfer and transportation of waste. In my opinion, Mr. Howard's position is much like that of the tugboat captain in </w:t>
      </w:r>
      <w:r>
        <w:rPr>
          <w:rFonts w:ascii="arial" w:eastAsia="arial" w:hAnsi="arial" w:cs="arial"/>
          <w:i/>
          <w:color w:val="000000"/>
          <w:sz w:val="20"/>
          <w:lang w:val="en-US" w:eastAsia="en-US" w:bidi="ar-SA"/>
        </w:rPr>
        <w:t>The Rhône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Both had extensive responsibilities and discretion, but neither had the power to design and supervise the implementation of corporate policy. The majority of the Supreme Court of Canada concluded that the captain was not a directing mind of his corporate employer. I reach the same conclusion with respect to Mr.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General Manager cited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at para. 27 for the test as to who is a directing mind of a corporation. As has been analyzed,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cannot stand for the proposition that a directing mind must be someone who is on the premises at the time as far as supervision was concerned. This is not the test in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was not cited in </w:t>
      </w:r>
      <w:r>
        <w:rPr>
          <w:rFonts w:ascii="arial" w:eastAsia="arial" w:hAnsi="arial" w:cs="arial"/>
          <w:i/>
          <w:color w:val="000000"/>
          <w:sz w:val="20"/>
          <w:lang w:val="en-US" w:eastAsia="en-US" w:bidi="ar-SA"/>
        </w:rPr>
        <w:t>Plaza Cabaret.</w:t>
      </w:r>
      <w:r>
        <w:rPr>
          <w:rFonts w:ascii="arial" w:eastAsia="arial" w:hAnsi="arial" w:cs="arial"/>
          <w:color w:val="000000"/>
          <w:sz w:val="20"/>
          <w:lang w:val="en-US" w:eastAsia="en-US" w:bidi="ar-SA"/>
        </w:rPr>
        <w:t xml:space="preserve"> There is no requirement that the directing mind of the corporation must be on site. The facts of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make this perfectly clear. If the directing mind of a corporation is the person on the premises regardless of corporate authority, then the defence of due diligence is essentially eviscerated. The respondent's suggestion that liquor licensing should stand separate and apart in the field of public welfare or public safety legislation without specific statutory language to do so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general manager applied the wrong test to determine whether the supervisor cashier was the directing mind of the licensee. This was an error of law. The test is set out in </w:t>
      </w:r>
      <w:r>
        <w:rPr>
          <w:rFonts w:ascii="arial" w:eastAsia="arial" w:hAnsi="arial" w:cs="arial"/>
          <w:i/>
          <w:color w:val="000000"/>
          <w:sz w:val="20"/>
          <w:lang w:val="en-US" w:eastAsia="en-US" w:bidi="ar-SA"/>
        </w:rPr>
        <w:t>Rhône</w:t>
      </w:r>
      <w:r>
        <w:rPr>
          <w:rFonts w:ascii="arial" w:eastAsia="arial" w:hAnsi="arial" w:cs="arial"/>
          <w:color w:val="000000"/>
          <w:sz w:val="20"/>
          <w:lang w:val="en-US" w:eastAsia="en-US" w:bidi="ar-SA"/>
        </w:rPr>
        <w:t xml:space="preserve"> at 520: has the impugned individual been delegated governing executive authority of the company within the scope of his or her authority in the design and supervision of the implementation of corporate policy? If the employee merely carries out such policy, then he/she is not a directing mind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this case, the general manager found as a fact that the supervisor was not part of management, did not set store policies, and was not in charge of other employees. Similar to the truck driver/geographical representative in </w:t>
      </w:r>
      <w:r>
        <w:rPr>
          <w:rFonts w:ascii="arial" w:eastAsia="arial" w:hAnsi="arial" w:cs="arial"/>
          <w:i/>
          <w:color w:val="000000"/>
          <w:sz w:val="20"/>
          <w:lang w:val="en-US" w:eastAsia="en-US" w:bidi="ar-SA"/>
        </w:rPr>
        <w:t>Safety-Kleen</w:t>
      </w:r>
      <w:r>
        <w:rPr>
          <w:rFonts w:ascii="arial" w:eastAsia="arial" w:hAnsi="arial" w:cs="arial"/>
          <w:color w:val="000000"/>
          <w:sz w:val="20"/>
          <w:lang w:val="en-US" w:eastAsia="en-US" w:bidi="ar-SA"/>
        </w:rPr>
        <w:t>, the supervisor did not have any managerial or supervisory function in the sense of governing executive authority. While she did have authority over the performance of the tasks assigned to her, including preventing the sale of liquor to minors, she did not have authority to devise or develop corporate policy or make corporate decisions which went beyond the individual sale in question. The authority to determine whether a customer was of legal age and then to refuse sale, as necessary, was part of the discretion given to exercise responsibility in the performance of her job function. This was an operational matter. It does not establish governing authority for a corporation. While she had discretion and certain responsibility on the night in question to close the store and perform individual sales, she was not a directing mind of the licensee as it related to the sale of liquor to minors. As found by the General Manager, she had no authority to design or supervise the implementation of corporate policy. She merely was supposed to carry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established that the petitioner had standards above most operators for the prevention of the sale of liquor to minors and that it was not standard in the industry for a manager to always work nights. The General Manager directed his inquiry to whether the employee was the directing mind of the licensee and found that, notwithstanding the reasonable efforts of the licensee to attain compliance through policies and procedures, it was not entitled to the defence of due diligence. The finding of reasonable care by establishing proper systems to prevent the sale of liquor to minors, left whether the supervisor was a directing mind of the petitioner as the only issue. The General Manager made the necessary findings of fact relative to this issue. Because the General Manager applied the wrong test but found facts that support an apparent decision when the correct test is applied, reasonableness requires deference to the reasons that were expressed (</w:t>
      </w:r>
      <w:r>
        <w:rPr>
          <w:rFonts w:ascii="arial" w:eastAsia="arial" w:hAnsi="arial" w:cs="arial"/>
          <w:i/>
          <w:color w:val="000000"/>
          <w:sz w:val="20"/>
          <w:lang w:val="en-US" w:eastAsia="en-US" w:bidi="ar-SA"/>
        </w:rPr>
        <w:t>Sivia v. British Columbia (Superintendent of Motor Vehicles),</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2012 BCSC 515</w:t>
        </w:r>
      </w:hyperlink>
      <w:r>
        <w:rPr>
          <w:rFonts w:ascii="arial" w:eastAsia="arial" w:hAnsi="arial" w:cs="arial"/>
          <w:color w:val="000000"/>
          <w:sz w:val="20"/>
          <w:lang w:val="en-US" w:eastAsia="en-US" w:bidi="ar-SA"/>
        </w:rPr>
        <w:t xml:space="preserve"> at para. 11). But for the error in law, the contravention would not have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such, there is no need to refer the matter back for determination on the proper test. It is not necessary to do so when the reasons provide a solid basis for determination of the matter (see </w:t>
      </w:r>
      <w:r>
        <w:rPr>
          <w:rFonts w:ascii="arial" w:eastAsia="arial" w:hAnsi="arial" w:cs="arial"/>
          <w:i/>
          <w:color w:val="000000"/>
          <w:sz w:val="20"/>
          <w:lang w:val="en-US" w:eastAsia="en-US" w:bidi="ar-SA"/>
        </w:rPr>
        <w:t>Canadian Airlines International Ltd. v. Canadian Air Line Pilots Association</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95 B.C.A.C. 40</w:t>
        </w:r>
      </w:hyperlink>
      <w:r>
        <w:rPr>
          <w:rFonts w:ascii="arial" w:eastAsia="arial" w:hAnsi="arial" w:cs="arial"/>
          <w:color w:val="000000"/>
          <w:sz w:val="20"/>
          <w:lang w:val="en-US" w:eastAsia="en-US" w:bidi="ar-SA"/>
        </w:rPr>
        <w:t xml:space="preserve"> at paras. 70-71 and 74, </w:t>
      </w:r>
      <w:hyperlink r:id="rId50" w:history="1">
        <w:r>
          <w:rPr>
            <w:rFonts w:ascii="arial" w:eastAsia="arial" w:hAnsi="arial" w:cs="arial"/>
            <w:i/>
            <w:color w:val="0077CC"/>
            <w:sz w:val="20"/>
            <w:u w:val="single"/>
            <w:shd w:val="clear" w:color="auto" w:fill="FFFFFF"/>
            <w:lang w:val="en-US" w:eastAsia="en-US" w:bidi="ar-SA"/>
          </w:rPr>
          <w:t>39 B.C.L.R. (3d) 131</w:t>
        </w:r>
      </w:hyperlink>
      <w:r>
        <w:rPr>
          <w:rFonts w:ascii="arial" w:eastAsia="arial" w:hAnsi="arial" w:cs="arial"/>
          <w:color w:val="000000"/>
          <w:sz w:val="20"/>
          <w:lang w:val="en-US" w:eastAsia="en-US" w:bidi="ar-SA"/>
        </w:rPr>
        <w:t xml:space="preserve">, lv. app. ref'd </w:t>
      </w:r>
      <w:hyperlink r:id="rId51" w:history="1">
        <w:r>
          <w:rPr>
            <w:rFonts w:ascii="arial" w:eastAsia="arial" w:hAnsi="arial" w:cs="arial"/>
            <w:i/>
            <w:color w:val="0077CC"/>
            <w:sz w:val="20"/>
            <w:u w:val="single"/>
            <w:shd w:val="clear" w:color="auto" w:fill="FFFFFF"/>
            <w:lang w:val="en-US" w:eastAsia="en-US" w:bidi="ar-SA"/>
          </w:rPr>
          <w:t>[1997] S.C.C.A. No. 488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decision of the General Manager under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dated February 27, 2012 is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 w:history="1">
        <w:r>
          <w:rPr>
            <w:rFonts w:ascii="arial" w:eastAsia="arial" w:hAnsi="arial" w:cs="arial"/>
            <w:b/>
            <w:bCs/>
            <w:i/>
            <w:color w:val="0077CC"/>
            <w:kern w:val="32"/>
            <w:sz w:val="28"/>
            <w:szCs w:val="32"/>
            <w:u w:val="single"/>
            <w:shd w:val="clear" w:color="auto" w:fill="FFFFFF"/>
            <w:lang w:val="en-US" w:eastAsia="en-US" w:bidi="ar-SA"/>
          </w:rPr>
          <w:t>British Columbia (Director of Civil Forfeiture) v. Sanghera, [2017] B.C.J. No. 1694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Further written submissions July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S153523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1519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2354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B.C.L.R. (5th)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283 A.C.W.S. (3d) 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Civil Forfeiture Action in Rem Against The Lands and Structures situated at 1226 East 63rd Avenue, Vancouver, British Columbia, and having a Legal Description of Parcel Identifier: PID 026 027 950, Lot 1, Block 12, Plan BCP 11955, District Lot 200, New Westminster Land District; the Lands and Structures situated at 1228 East 63rd Avenue, Vancouver, British Columbia, and having a Legal Description of Parcel Identifier: PID 026 028 182, Lot 2, Block 12, Plan BCP 11955, District Lot 200, New Westminster Land District; and the Lands and Structures situated at 1238 East 63rd Avenue, Vancouver, British Columbia, and having a Legal Description of Parcel Identifier: PID 026 028 191, Lot 3, Block 12, Plan BCP 11955, District Lot 200, New Westminster Land District And Between Director of Civil Forfeiture, Plaintiff, and The Owners and all Others Interested in the Property, in Particular, Jaspal Kaur Sanghera and Udham Singh Sanghera,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Civil litigation — Civil procedure — Pleadings — Amendment of — Statement of claim — Adding new cause of action — Striking out pleading or allegations — Grounds — False, frivolous, vexatious or abuse of process — Res judicata — Appeals — Masters' decisions — Estoppel — Estoppel by record (res judicata) — Issue estoppel — Appeal by defendant from Master's decision allowing plaintiff to amend pleadings and dismissing defendants' application to strike certain paragraphs dismissed — This was civil forfeiture proceeding in which plaintiff alleged defendants' properties were acquired, maintained and modified by proceeds of tax evasion — Defendants alleged CRA reassessment in her favour for 2008-2010 years meant plaintiff could not revisit issue — However, CRA determination was not final as Minister could revisit matters of tax evasion at any time — Plaintiff's allegations were not collateral attack on CRA determination and proposed pleading did not bring administration of justice into disrepute.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Abuse of legal procedure — Appeal by defendant from Master's decision allowing plaintiff to amend pleadings and dismissing defendants' application to strike certain paragraphs dismissed — This was civil forfeiture proceeding in which plaintiff alleged defendants' properties were acquired, maintained and modified by proceeds of tax evasion — Defendants alleged CRA reassessment in her favour for 2008-2010 years meant plaintiff could not revisit issue — However, CRA determination was not final as Minister could revisit matters of tax evasion at any time — Plaintiff's allegations were not collateral attack on CRA determination and proposed pleading did not bring administration of justice into disrepute.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Taxation — Federal income tax — Administration and enforcement — Assessment — Estoppel — Offences — Tax evasion — Appeal by defendant from Master's decision allowing plaintiff to amend pleadings and dismissing defendants' application to strike certain paragraphs dismissed — This was civil forfeiture proceeding in which plaintiff alleged defendants' properties were acquired, maintained and modified by proceeds of tax evasion — Defendants alleged CRA reassessment in her favour for 2008-2010 years meant plaintiff could not revisit issue — However, CRA determination was not final as Minister could revisit matters of tax evasion at any time — Plaintiff's allegations were not collateral attack on CRA determination and proposed pleading did not bring administration of justice into disrepute.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defendant from the Master's decision allowing the plaintiff to amend its pleadings and dismissing the defendants' application to strike certain paragraphs of the plaintiff's pleadings. This was a civil forfeiture proceeding in which the plaintiff alleged the defendants' properties were acquired, maintained and modified by proceeds of tax evasion. The CRA conducted an audit and found a discrepancy between the defendants' reported income and net worth analysis, and concluded they had unreported income of $65,552. Assessments were made and the defendant filed a notice of objection. The objection was successful and the CRA refunded monies to the defendant and issued reassessments for the 2008-2010 taxation years. The defendant argued the legitimacy of her tax reporting and filing for 2008-2010 was already determined and the plaintiff could not revisit the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0"/>
            <w:bookmarkEnd w:id="15"/>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Master's decision indicated issue estoppel could only apply to final decisions of courts, not administrative tribunals, which was incorrect. The pleadings had a central effect on the litigation, and the CRA's reassessment and determination directly addressed the plaintiff's proposed pleadings for tax evasion. The CRA already determined that, for the years in question, the defendant paid taxes as required. The CRA determination was part of the adjudicative function of the CRA and constituted a decision. However, the proposed pleadings of the plaintiff relied on s. 238 and s. 239 of the Income Tax Act, which gave rise to criminal offences which, by virtue of s. 152(4)(a)(i), the Minister could revisit anytime. As such, the CRA determination was not final. Issue estoppel did not bar the proposed amendments. Abuse of process by collateral attack did not apply as the plaintiff was not trying to overturn the CRA determination. The doctrine of abuse of process by re-litigation was to be applied sparingly, the defendant did not establish any additional element beyond re-litigation that addressed underlying policy considerations, and the CRA determination was not final. The proposed pleadings did not bring the administration of justice into disrepute.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1"/>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91, s.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R.S.B.C. 1996 c. 128, s.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Ontario Employment Standards Act, </w:t>
      </w:r>
      <w:hyperlink r:id="rId59" w:history="1">
        <w:r>
          <w:rPr>
            <w:rFonts w:ascii="arial" w:eastAsia="arial" w:hAnsi="arial" w:cs="arial"/>
            <w:i/>
            <w:color w:val="0077CC"/>
            <w:sz w:val="20"/>
            <w:u w:val="single"/>
            <w:shd w:val="clear" w:color="auto" w:fill="FFFFFF"/>
            <w:lang w:val="en-US" w:eastAsia="en-US" w:bidi="ar-SA"/>
          </w:rPr>
          <w:t>R.S.O. 1990, c. E.14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Supreme Court of British Columbia, dated May 24, 2017 (British Columbia (Director of Civil Forfeiture) v. Sanghera, </w:t>
            </w:r>
            <w:hyperlink r:id="rId60" w:history="1">
              <w:r>
                <w:rPr>
                  <w:rFonts w:ascii="arial" w:eastAsia="arial" w:hAnsi="arial" w:cs="arial"/>
                  <w:i/>
                  <w:color w:val="0077CC"/>
                  <w:sz w:val="20"/>
                  <w:u w:val="single"/>
                  <w:shd w:val="clear" w:color="auto" w:fill="FFFFFF"/>
                  <w:lang w:val="en-US" w:eastAsia="en-US" w:bidi="ar-SA"/>
                </w:rPr>
                <w:t>2017 BCSC 863</w:t>
              </w:r>
            </w:hyperlink>
            <w:r>
              <w:rPr>
                <w:rFonts w:ascii="arial" w:eastAsia="arial" w:hAnsi="arial" w:cs="arial"/>
                <w:color w:val="000000"/>
                <w:sz w:val="20"/>
                <w:lang w:val="en-US" w:eastAsia="en-US" w:bidi="ar-SA"/>
              </w:rPr>
              <w:t xml:space="preserve">, Vancouver Docket S153523).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Counsel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Ryneveld, Q.C., D.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Straith.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BACKGROUND AND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SCOPE OF THE REASONS AND THE NARROW ISSUE THAT THE APPELLANT WISHES TO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STANDARD OF REVIEW</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Test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Proper Standard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Ruling Vital to the Final Determination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ISSUE NO. 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Does res judicata, by way of issue estoppel, prevent the Director from advancing the claim in para. 61(e) of the Proposed Pleading?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CRA answer the same issue as the Director raises?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CRA Determination a final decision?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Statutory Scheme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Was the CRA Determination a "decision" for the Purposes of Issue Estoppel?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iii) Was the decision "final"?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Is there Mutuality Between the Federal and Provincial Crowns for the purposes of the tax evasion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ISSUE NO. 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Does abuse of process, by way of issue estoppel, prevent the Director from advancing the claim in para. 61(e) of the Proposed Pleading?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Abuse of Process by way of Collateral Attack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Abuse of Process by way of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P.G. VOITH J."/>
            <w:bookmarkEnd w:id="19"/>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Ms. Jaspal Sanghera, has appealed a Master's decision made May 24, 2017 and indexed at </w:t>
      </w:r>
      <w:hyperlink r:id="rId60" w:history="1">
        <w:r>
          <w:rPr>
            <w:rFonts w:ascii="arial" w:eastAsia="arial" w:hAnsi="arial" w:cs="arial"/>
            <w:i/>
            <w:color w:val="0077CC"/>
            <w:sz w:val="20"/>
            <w:u w:val="single"/>
            <w:shd w:val="clear" w:color="auto" w:fill="FFFFFF"/>
            <w:lang w:val="en-US" w:eastAsia="en-US" w:bidi="ar-SA"/>
          </w:rPr>
          <w:t>2017 BCSC 863</w:t>
        </w:r>
      </w:hyperlink>
      <w:r>
        <w:rPr>
          <w:rFonts w:ascii="arial" w:eastAsia="arial" w:hAnsi="arial" w:cs="arial"/>
          <w:color w:val="000000"/>
          <w:sz w:val="20"/>
          <w:lang w:val="en-US" w:eastAsia="en-US" w:bidi="ar-SA"/>
        </w:rPr>
        <w:t xml:space="preserve"> (the "Reasons"). The Reasons arise out of an earlier set of cross applications in which the plaintiff, Director of Civil Forfeiture (the "Director"), applied to further amend its Amended Notice of Civil Claim (the "Proposed Pleading") and the Appellant and her husband, Udham Singh Sanghera (collectively the "Defendants"), applied to strike certain paragraphs of the Amended Notice of Civil Claim (the "Amended Claim"). The Master allowed the Director's application and dismissed the application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central issues that arise on this application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Master was clearly wrong in his conclusions;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either of the doctrines of issue estoppel or abuse of process, prevent the Director from making specific amendments to the Proposed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To properly understand the ambit of the issues that have been raised on this appeal it is necessary to understand: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background of this matter and the nature of the amendments the Director sought to make in the Proposed Pleading;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Reasons and the specific and narrow issue that the Appellant wishes to raise.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Background and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detailed procedural history of this matter is found at paras. 2-17 of the Reasons. Several central facts are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April 20, 2015 the Director filed a Notice of Civil Claim against the defendants relying on s. 3 of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2005, c. 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That provision allows the Director to apply to the court for an order forfeiting property that constitutes "proceeds or an instrument of an unlawful activity" to Her Majesty the Queen in Right of the Province of British Columbia (the "Province"). The various pleadings, and the Proposed Pleading, seek forfeiture of a number of properties. Those properties have been defined as the "Properties" in the Director's various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paragraphs of the Proposed Pleading are particularly relevant:</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Jaspal Sanghera and Udham Sanghera did not and do not have sufficient legitimate income to have acquired and maintained the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Properties were acquired, modified, and maintained, directly or indirectly, with the proceeds of unlawful activity. To the extent that those unlawful activities are known to the plaintiff, they consist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evasion in breach of s. 238 and s. 239 of the Income Tax Act, R.S.C. 1985, c. 1 (the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emphasize that the Proposed Pleading advances numerous other causes of action and other particulars of wrongdoing on the part of the Defendants. It is, however, the allegation that the Defendants, and in particular the Appellant, acquired and/or maintained the Properties with the proceeds of crime and in particular through the activity of tax evasion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Of central importance is the fact that the Canada Revenue Agency (the "CRA") conducted an audit of the Appellant for the period of January 1, 2008 to January 31, 2010. An undated audit report prepared by the CRA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SCOPE OF AUDIT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taxpayer, Jaspal Sanghera is married to Udham Sanghera and is the mother to Boby Sanghera all of the same address at [address omitted], Vancouver. Jaspal Sanghera swore an affidavit in Supreme Court with Respect to her being a surety for her son, Boby bail hearing. Jaspal Sanghera has sworn in her affidavit that she is employed as a cook at the Georgian Court Hotel since 1983 and also works as a dishwasher at the Holiday Inn near Broadway and Cambie. Boby and Udham Sanghera were under police surveillance from October 2008 until April 2009; both were observed to be actively participating in the drug trade and at no time did they appear to attend any legitimate work. Boby Sanghera has been in jail since April 2009 and Udham Sanghera was in jail from February 2009 to April 2011. Jaspal Sanghera and Udham Sanghera show as co-owners of three properties located at [address omitted], [address omitted] all in Vancouver.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AUDIT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income reported by Jaspal Sanghera and her spouse, Udham Sanghera does not appear to support the taxpayer's lifestyle. A net worth audit approach will be used to determine the discrepancy if any between the taxpayer's reported income and income per net worth analysis.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net worth audit indicated that there was a discrepancy between the income Jaspal Sanghera and her spouse reported and the income per net worth analysis. This income discrepancy is considered to be unreported income from other sources. The total amount of unreported income during the audit period amounts to $65,552.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EXTENT OF AUDIT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WORTH COMPLIANCE AUDIT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Assets, liabilities and bank accounts of the taxpayer were examined to determine the net worth.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BOOKS AND RECORDS EXAMINED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Bank statements, credit reports, property search reports and third-party reports were examined and reviewed during the audit.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EXTENT OF INDIRECT TESTS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net worth audit approach was done to verify if the taxpayer's income matched the taxpayer's lifestyle. Bank deposit &amp; withdrawal analysis (see WP 1000 series) were also done as part of the indirect tests.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WAIVER OF PENALTY AND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Jaspal Sanghera appears to be a nominee for the assets that were accumulated during the audit period from the income that was earned by her husband, Udham and son Boby Sanghera drug trafficking activities. Assets held during the audit period were put in Jaspal's name. The income that was reported by Jaspal Sanghera during the audit period does not support the assets that were accumulated during this period. Jaspal Sanghera did indirectly benefit from the income earned by her husband and son's drug trafficking activities; however, since Jaspal appears to be a nominee only during this time the application of section 163(2) penalties do not appear to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CRA sent the Appellant a letter dated November 29, 2011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Mrs. Sanghera: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SIN [number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Audit of Personal Income Tax Returns - January 1, 2008 to December 31,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finished our audit of your personal Income Tax returns for the period of January 1, 2008 to December 31, 2010. As a result, we propose to change your Income Tax returns as explained in the attached </w:t>
      </w:r>
      <w:r>
        <w:rPr>
          <w:rFonts w:ascii="arial" w:eastAsia="arial" w:hAnsi="arial" w:cs="arial"/>
          <w:i/>
          <w:color w:val="000000"/>
          <w:sz w:val="20"/>
          <w:lang w:val="en-US" w:eastAsia="en-US" w:bidi="ar-SA"/>
        </w:rPr>
        <w:t>Summary of Proposed Audit Adjustments</w:t>
      </w:r>
      <w:r>
        <w:rPr>
          <w:rFonts w:ascii="arial" w:eastAsia="arial" w:hAnsi="arial" w:cs="arial"/>
          <w:color w:val="000000"/>
          <w:sz w:val="20"/>
          <w:lang w:val="en-US" w:eastAsia="en-US" w:bidi="ar-SA"/>
        </w:rPr>
        <w:t>. The proposed adjustments are based on a Net Worth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Subsection 163(2) of the Income Tax Act provide for the levying of penalties in cases where a taxpayer knowingly or in circumstances amounting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participates in or makes false statements, or omissions, in a return, form, certificate, statement or answer. For the returns filed before September 13, 1988, the penalties amount is 25% of the tax attributable to the false statement or omission. For returns filed after September 12, 1988, the penalties amount is the greater of $100 and 50% of the tax attributable to the false statement or omission.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all the information relating to your returns, we are considering imposing penalties for the items identified by (</w:t>
      </w:r>
      <w:r>
        <w:rPr>
          <w:rFonts w:ascii="arial" w:eastAsia="arial" w:hAnsi="arial" w:cs="arial"/>
          <w:i/>
          <w:color w:val="000000"/>
          <w:sz w:val="20"/>
          <w:lang w:val="en-US" w:eastAsia="en-US" w:bidi="ar-SA"/>
        </w:rPr>
        <w:t>P</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Summary of Proposed Audit Adjustments</w:t>
      </w:r>
      <w:r>
        <w:rPr>
          <w:rFonts w:ascii="arial" w:eastAsia="arial" w:hAnsi="arial" w:cs="arial"/>
          <w:color w:val="000000"/>
          <w:sz w:val="20"/>
          <w:lang w:val="en-US" w:eastAsia="en-US" w:bidi="ar-SA"/>
        </w:rPr>
        <w:t>. However, we will not take this action until December 29, 2011, so that you can submit any additional information or explanation you want us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do not hear from you by the date indicated above, we may be required to make a reassessment to account for the proposed adjustments, including the levying of the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filed a Notice of Objection. That Notice of Objection is not part of the record. The CRA thereafter sent a letter, that is date stamped October 28, 2013, to the Appellant (the "CRA Determination"). The relevant part of the CRA Determination, signed by an individual whose title is "Team Leader Appeals Division",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refers to your Notice of Objection dated March 12, 2012 to the Income Tax Assessment for the years 2008, 2009, and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carefully reconsidered the assessment with reference to the information and reasons set forth in your Notice of Objection, the Minister of National Revenue renders the following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objection is allowed and the assessment will be reversed. A Notice of Reassessment will follow under separate 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Appellant's earlier assessments were thereafter reversed and, in the period that followed, she received reassessments for each of 2008, 2009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Appellant now argues that the propriety or legitimacy of her tax reporting and tax filings were determined, for the years 2008, 2009 and 2010, through the foregoing administrative process and that the Director is foreclosed from seeking to revisit this issue in the Proposed Pleading.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Scope of the Reasons and the Narrow Issue that the Appellant Wishes to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Reasons address various issues including:</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issues, Reasons at paras. 20-23;</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relevance of s. 81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Reasons at paras. 24-28;</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certain amendments in the Proposed Pleading were barred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Reasons at paras. 29-37;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certain amendments in the Amended Claim or the Proposed Pleading were inappropriate, either because they fail to plead material facts or because they pleaded evidence, Reasons at paras. 28-40.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Only the third of these issues is raised on this application. Indeed counsel agree that the only aspects of the Proposed Pleading that are at issue are, as I have said, those paragraphs that aver that the Appellant failed to properly report her taxes in the years 2008, 2009 and 2010. I have emphasized the finite nature of the issue that is raised on this appeal to obviate any confusion and to make clear that I have not addressed some of the other issues that are raised in the materials that were filed on the appeal. Specifically, the Notice of Appeal that was filed by the Appellant asserted that both the allegations of income tax evasion and money laundering that were contained in the Proposed Pleading were at issue. Furthermore, in counsel for the Appellant's written argument, under the heading "Issues on Appeal", paragraph "B" refers to a number of subparagraphs in both the Amended Claim and the Proposed Pleading that deal with various trust claims advanced by the Director. Finally, the written argument prepared on behalf of the Appellant, in paragraph 12 of its prayer for relief, address portions of the Amended Claim that contain other allegations. Paragraph 12 also makes reference to particular paragraphs within "Part 3" of the Proposed Pleading that do not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Standard of Review</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Proper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proper standard of review to be applied to an appeal from a Master's decision was established in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[1990] B.C.J. No. 1060</w:t>
        </w:r>
      </w:hyperlink>
      <w:r>
        <w:rPr>
          <w:rFonts w:ascii="arial" w:eastAsia="arial" w:hAnsi="arial" w:cs="arial"/>
          <w:color w:val="000000"/>
          <w:sz w:val="20"/>
          <w:lang w:val="en-US" w:eastAsia="en-US" w:bidi="ar-SA"/>
        </w:rPr>
        <w:t xml:space="preserve"> (B.C.S.C.), where Macdonald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from a Master's order in a purely interlocutory matter should not be entertained unless the order was clearly wrong. However, where the ruling of the Master raises questions which are vital to the final issue in the case, or results in one of those final orders which a Master is permitted to make, a rehearing is the appropriate form of appeal. Unless an order for the production of fresh evidence is made, that rehearing will proceed on the basis of the material which was before the Master. In those latter situations, even where the exercise of discretion is involved, the judge appealed to may quite properly substitute his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foregoing standard has been consistently applied in this jurisdiction since </w:t>
      </w:r>
      <w:r>
        <w:rPr>
          <w:rFonts w:ascii="arial" w:eastAsia="arial" w:hAnsi="arial" w:cs="arial"/>
          <w:i/>
          <w:color w:val="000000"/>
          <w:sz w:val="20"/>
          <w:lang w:val="en-US" w:eastAsia="en-US" w:bidi="ar-SA"/>
        </w:rPr>
        <w:t>Abermin</w:t>
      </w:r>
      <w:r>
        <w:rPr>
          <w:rFonts w:ascii="arial" w:eastAsia="arial" w:hAnsi="arial" w:cs="arial"/>
          <w:color w:val="000000"/>
          <w:sz w:val="20"/>
          <w:lang w:val="en-US" w:eastAsia="en-US" w:bidi="ar-SA"/>
        </w:rPr>
        <w:t xml:space="preserve"> was decided; see for example </w:t>
      </w:r>
      <w:r>
        <w:rPr>
          <w:rFonts w:ascii="arial" w:eastAsia="arial" w:hAnsi="arial" w:cs="arial"/>
          <w:i/>
          <w:color w:val="000000"/>
          <w:sz w:val="20"/>
          <w:lang w:val="en-US" w:eastAsia="en-US" w:bidi="ar-SA"/>
        </w:rPr>
        <w:t>Sorila v. Chan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2016 BCCA 108</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Wright v. Sun Life Assurance Company of Canada</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2014 BCCA 309</w:t>
        </w:r>
      </w:hyperlink>
      <w:r>
        <w:rPr>
          <w:rFonts w:ascii="arial" w:eastAsia="arial" w:hAnsi="arial" w:cs="arial"/>
          <w:color w:val="000000"/>
          <w:sz w:val="20"/>
          <w:lang w:val="en-US" w:eastAsia="en-US" w:bidi="ar-SA"/>
        </w:rPr>
        <w:t xml:space="preserve"> at paras. 35-37; and </w:t>
      </w:r>
      <w:r>
        <w:rPr>
          <w:rFonts w:ascii="arial" w:eastAsia="arial" w:hAnsi="arial" w:cs="arial"/>
          <w:i/>
          <w:color w:val="000000"/>
          <w:sz w:val="20"/>
          <w:lang w:val="en-US" w:eastAsia="en-US" w:bidi="ar-SA"/>
        </w:rPr>
        <w:t>Fat Mel's Restaurant Ltd. v. Canada Northern Shield Insurance Co</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at para. 13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Director, without acknowledging or identifying this considerable and consistent body of law suggested that the test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[2001] 2 S.C.R. 235, where the Court, at paras. 8-26, developed a framework to address the standard of review for a matter on appeal, should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prospect of revisiting </w:t>
      </w:r>
      <w:r>
        <w:rPr>
          <w:rFonts w:ascii="arial" w:eastAsia="arial" w:hAnsi="arial" w:cs="arial"/>
          <w:i/>
          <w:color w:val="000000"/>
          <w:sz w:val="20"/>
          <w:lang w:val="en-US" w:eastAsia="en-US" w:bidi="ar-SA"/>
        </w:rPr>
        <w:t>Albermin</w:t>
      </w:r>
      <w:r>
        <w:rPr>
          <w:rFonts w:ascii="arial" w:eastAsia="arial" w:hAnsi="arial" w:cs="arial"/>
          <w:color w:val="000000"/>
          <w:sz w:val="20"/>
          <w:lang w:val="en-US" w:eastAsia="en-US" w:bidi="ar-SA"/>
        </w:rPr>
        <w:t xml:space="preserve">, in light of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has, however, been raised and discounted repeatedly by the Court of Appeal in this province; see </w:t>
      </w:r>
      <w:r>
        <w:rPr>
          <w:rFonts w:ascii="arial" w:eastAsia="arial" w:hAnsi="arial" w:cs="arial"/>
          <w:i/>
          <w:color w:val="000000"/>
          <w:sz w:val="20"/>
          <w:lang w:val="en-US" w:eastAsia="en-US" w:bidi="ar-SA"/>
        </w:rPr>
        <w:t>Ralph's Auto Supply (B.C.) Ltd. v. Ken Ransford Holdings Ltd.</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2011 BCCA 523</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Kalafchi v. Yao</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2015 BCCA 524</w:t>
        </w:r>
      </w:hyperlink>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Kondori v. New Country Appliances Inc.</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2017 BCCA 164</w:t>
        </w:r>
      </w:hyperlink>
      <w:r>
        <w:rPr>
          <w:rFonts w:ascii="arial" w:eastAsia="arial" w:hAnsi="arial" w:cs="arial"/>
          <w:color w:val="000000"/>
          <w:sz w:val="20"/>
          <w:lang w:val="en-US" w:eastAsia="en-US" w:bidi="ar-SA"/>
        </w:rPr>
        <w:t xml:space="preserve"> at paras. 16-19.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Furthermore, counsel for the Director relied on </w:t>
      </w:r>
      <w:r>
        <w:rPr>
          <w:rFonts w:ascii="arial" w:eastAsia="arial" w:hAnsi="arial" w:cs="arial"/>
          <w:i/>
          <w:color w:val="000000"/>
          <w:sz w:val="20"/>
          <w:lang w:val="en-US" w:eastAsia="en-US" w:bidi="ar-SA"/>
        </w:rPr>
        <w:t>Preferred Steel Construction Inc. v. M3 Steel (Kamloops)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2015 BCCA 16</w:t>
        </w:r>
      </w:hyperlink>
      <w:r>
        <w:rPr>
          <w:rFonts w:ascii="arial" w:eastAsia="arial" w:hAnsi="arial" w:cs="arial"/>
          <w:color w:val="000000"/>
          <w:sz w:val="20"/>
          <w:lang w:val="en-US" w:eastAsia="en-US" w:bidi="ar-SA"/>
        </w:rPr>
        <w:t xml:space="preserve"> as authority for the proposition that a decision to permit an amendment to pleadings is a discretionary decision and it is, therefore, subject to "significant appellate deference"; at para. 33. In that case Neilson J.A. confirmed that appellate interference is only available if there has been an error in principle, a palpable and overriding error on the facts or a demonstrated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Respectfully, the standard set out in </w:t>
      </w:r>
      <w:r>
        <w:rPr>
          <w:rFonts w:ascii="arial" w:eastAsia="arial" w:hAnsi="arial" w:cs="arial"/>
          <w:i/>
          <w:color w:val="000000"/>
          <w:sz w:val="20"/>
          <w:lang w:val="en-US" w:eastAsia="en-US" w:bidi="ar-SA"/>
        </w:rPr>
        <w:t>Preferred Steel</w:t>
      </w:r>
      <w:r>
        <w:rPr>
          <w:rFonts w:ascii="arial" w:eastAsia="arial" w:hAnsi="arial" w:cs="arial"/>
          <w:color w:val="000000"/>
          <w:sz w:val="20"/>
          <w:lang w:val="en-US" w:eastAsia="en-US" w:bidi="ar-SA"/>
        </w:rPr>
        <w:t xml:space="preserve"> applies to appellate review from a decision of the Supreme Court. It does not govern this appeal; see </w:t>
      </w:r>
      <w:r>
        <w:rPr>
          <w:rFonts w:ascii="arial" w:eastAsia="arial" w:hAnsi="arial" w:cs="arial"/>
          <w:i/>
          <w:color w:val="000000"/>
          <w:sz w:val="20"/>
          <w:lang w:val="en-US" w:eastAsia="en-US" w:bidi="ar-SA"/>
        </w:rPr>
        <w:t>Nagra v. Cruz</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2017 BCSC 347</w:t>
        </w:r>
      </w:hyperlink>
      <w:r>
        <w:rPr>
          <w:rFonts w:ascii="arial" w:eastAsia="arial" w:hAnsi="arial" w:cs="arial"/>
          <w:color w:val="000000"/>
          <w:sz w:val="20"/>
          <w:lang w:val="en-US" w:eastAsia="en-US" w:bidi="ar-SA"/>
        </w:rPr>
        <w:t xml:space="preserve">, aff'd </w:t>
      </w:r>
      <w:hyperlink r:id="rId71" w:history="1">
        <w:r>
          <w:rPr>
            <w:rFonts w:ascii="arial" w:eastAsia="arial" w:hAnsi="arial" w:cs="arial"/>
            <w:i/>
            <w:color w:val="0077CC"/>
            <w:sz w:val="20"/>
            <w:u w:val="single"/>
            <w:shd w:val="clear" w:color="auto" w:fill="FFFFFF"/>
            <w:lang w:val="en-US" w:eastAsia="en-US" w:bidi="ar-SA"/>
          </w:rPr>
          <w:t>2016 BCSC 2469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Nesbitt v. Miramar Mining Corporation</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2000 BCSC 187</w:t>
        </w:r>
      </w:hyperlink>
      <w:r>
        <w:rPr>
          <w:rFonts w:ascii="arial" w:eastAsia="arial" w:hAnsi="arial" w:cs="arial"/>
          <w:color w:val="000000"/>
          <w:sz w:val="20"/>
          <w:lang w:val="en-US" w:eastAsia="en-US" w:bidi="ar-SA"/>
        </w:rPr>
        <w:t xml:space="preserve"> as examples of where the </w:t>
      </w:r>
      <w:r>
        <w:rPr>
          <w:rFonts w:ascii="arial" w:eastAsia="arial" w:hAnsi="arial" w:cs="arial"/>
          <w:i/>
          <w:color w:val="000000"/>
          <w:sz w:val="20"/>
          <w:lang w:val="en-US" w:eastAsia="en-US" w:bidi="ar-SA"/>
        </w:rPr>
        <w:t>Albermin</w:t>
      </w:r>
      <w:r>
        <w:rPr>
          <w:rFonts w:ascii="arial" w:eastAsia="arial" w:hAnsi="arial" w:cs="arial"/>
          <w:color w:val="000000"/>
          <w:sz w:val="20"/>
          <w:lang w:val="en-US" w:eastAsia="en-US" w:bidi="ar-SA"/>
        </w:rPr>
        <w:t xml:space="preserve"> standard was applied to issues related to pleadings on an appeal from a Master's decision. Furthermore, in </w:t>
      </w:r>
      <w:r>
        <w:rPr>
          <w:rFonts w:ascii="arial" w:eastAsia="arial" w:hAnsi="arial" w:cs="arial"/>
          <w:i/>
          <w:color w:val="000000"/>
          <w:sz w:val="20"/>
          <w:lang w:val="en-US" w:eastAsia="en-US" w:bidi="ar-SA"/>
        </w:rPr>
        <w:t>Kondori</w:t>
      </w:r>
      <w:r>
        <w:rPr>
          <w:rFonts w:ascii="arial" w:eastAsia="arial" w:hAnsi="arial" w:cs="arial"/>
          <w:color w:val="000000"/>
          <w:sz w:val="20"/>
          <w:lang w:val="en-US" w:eastAsia="en-US" w:bidi="ar-SA"/>
        </w:rPr>
        <w:t xml:space="preserve"> Savage J.A., at paras. 20-22, discussed the standard of review that is relevant to a discretionary order made by a Supreme Court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Accordingly there is little question, at this time, that the </w:t>
      </w:r>
      <w:r>
        <w:rPr>
          <w:rFonts w:ascii="arial" w:eastAsia="arial" w:hAnsi="arial" w:cs="arial"/>
          <w:i/>
          <w:color w:val="000000"/>
          <w:sz w:val="20"/>
          <w:lang w:val="en-US" w:eastAsia="en-US" w:bidi="ar-SA"/>
        </w:rPr>
        <w:t>Albermin</w:t>
      </w:r>
      <w:r>
        <w:rPr>
          <w:rFonts w:ascii="arial" w:eastAsia="arial" w:hAnsi="arial" w:cs="arial"/>
          <w:color w:val="000000"/>
          <w:sz w:val="20"/>
          <w:lang w:val="en-US" w:eastAsia="en-US" w:bidi="ar-SA"/>
        </w:rPr>
        <w:t xml:space="preserve"> test applies to the instant appeal.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Application of the Proper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Reasons the Master relied on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when describing the legal requirements of each of cause of action and issue estoppel. That authority clearly and correctly states the relevant legal principles. The difficulty is that the Master then misconstrued or misapplied aspects of these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 37 of the Reasons, the Master said, "there was no final decision of a court of competent jurisdiction. There was an administrative decision only before the matter was ever dealt with by the Tax Court of Canada". This language suggests that the Master believed or understood that issue estoppel only applies to the final decisions of a court and not to administrative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21, Binnie J.,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These rules were initially developed in the context of prior court proceedings. They have since been extended, with some necessary modifications, to decisions classified as being of a judicial or quasi-judicial nature pronounced by administrative officers and tribunals. In that context the more specific objective is to balance fairness to the parties with the protection of the administrative decision-making [page475] process, whose integrity would be undermined by too readily permitting collateral attack or relitigation of issues once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Master's statement of the law, on this point, is clearly wrong. To the extent that error forms part of the Master's conclusion on the application of issue estoppel to the facts before him, that conclusion is clearly wrong.</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Ruling Vital to the Final Determination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Apart from concluding that the Master's decision, on this issue, was clearly wrong, I am satisfied, in any event, that that decision is vital to the proceeding. In </w:t>
      </w:r>
      <w:r>
        <w:rPr>
          <w:rFonts w:ascii="arial" w:eastAsia="arial" w:hAnsi="arial" w:cs="arial"/>
          <w:i/>
          <w:color w:val="000000"/>
          <w:sz w:val="20"/>
          <w:lang w:val="en-US" w:eastAsia="en-US" w:bidi="ar-SA"/>
        </w:rPr>
        <w:t>Kalafchi</w:t>
      </w:r>
      <w:r>
        <w:rPr>
          <w:rFonts w:ascii="arial" w:eastAsia="arial" w:hAnsi="arial" w:cs="arial"/>
          <w:color w:val="000000"/>
          <w:sz w:val="20"/>
          <w:lang w:val="en-US" w:eastAsia="en-US" w:bidi="ar-SA"/>
        </w:rPr>
        <w:t>, Harris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 Whether an order of a master raises questions which are vital to the final issue in the case will often depend on the factual consequences of the order in the context of the case as pleaded. Those questions cannot properly be answered by adopting rigid categories. There can be no absolute rule that masters' decisions are purely interlocutory or are always temporary or merely effective means to preserve the status quo. Whether they should be seen as interlocutory and subject to the "clearly wrong" test requires case-by-case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 v. Ming Pao Newspapers (Westren Canada) Ltd.</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1997 CarswellBC 2468</w:t>
        </w:r>
      </w:hyperlink>
      <w:r>
        <w:rPr>
          <w:rFonts w:ascii="arial" w:eastAsia="arial" w:hAnsi="arial" w:cs="arial"/>
          <w:color w:val="000000"/>
          <w:sz w:val="20"/>
          <w:lang w:val="en-US" w:eastAsia="en-US" w:bidi="ar-SA"/>
        </w:rPr>
        <w:t xml:space="preserve"> (B.C.S.C.), unreported, November 10, 1997, No. C972398 Vancouver Registry, the court overturned the decision of a Master refusing production of documents in the possession of a non-party. The court held that the documents were vital to the outcome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Pleadings have a central and controlling effect on litigation. The authors of Fraser, Horn, &amp; Griffin, </w:t>
      </w:r>
      <w:r>
        <w:rPr>
          <w:rFonts w:ascii="arial" w:eastAsia="arial" w:hAnsi="arial" w:cs="arial"/>
          <w:i/>
          <w:color w:val="000000"/>
          <w:sz w:val="20"/>
          <w:lang w:val="en-US" w:eastAsia="en-US" w:bidi="ar-SA"/>
        </w:rPr>
        <w:t>Conduct of Civil Litigation in British Columbia</w:t>
      </w:r>
      <w:r>
        <w:rPr>
          <w:rFonts w:ascii="arial" w:eastAsia="arial" w:hAnsi="arial" w:cs="arial"/>
          <w:color w:val="000000"/>
          <w:sz w:val="20"/>
          <w:lang w:val="en-US" w:eastAsia="en-US" w:bidi="ar-SA"/>
        </w:rPr>
        <w:t xml:space="preserve">, loose-leaf (Markham, Ont: LexisNexis Canada Inc., 2017) at ch. 11 s. 15, state: "pleading has retained its role as the device to which all other procedural devices are subordinate". For example, the right to discovery is based on the existence of an "issue on the pleadings" and a failure to plead a material fact disentitles a party from leading evidence of that fact at trial; see </w:t>
      </w:r>
      <w:r>
        <w:rPr>
          <w:rFonts w:ascii="arial" w:eastAsia="arial" w:hAnsi="arial" w:cs="arial"/>
          <w:i/>
          <w:color w:val="000000"/>
          <w:sz w:val="20"/>
          <w:lang w:val="en-US" w:eastAsia="en-US" w:bidi="ar-SA"/>
        </w:rPr>
        <w:t>Belzberg v. Jackson</w:t>
      </w:r>
      <w:r>
        <w:rPr>
          <w:rFonts w:ascii="arial" w:eastAsia="arial" w:hAnsi="arial" w:cs="arial"/>
          <w:color w:val="000000"/>
          <w:sz w:val="20"/>
          <w:lang w:val="en-US" w:eastAsia="en-US" w:bidi="ar-SA"/>
        </w:rPr>
        <w:t xml:space="preserve">, 1981 CarswellBC 256 at para. 10 (B.C.C.A.); </w:t>
      </w:r>
      <w:r>
        <w:rPr>
          <w:rFonts w:ascii="arial" w:eastAsia="arial" w:hAnsi="arial" w:cs="arial"/>
          <w:i/>
          <w:color w:val="000000"/>
          <w:sz w:val="20"/>
          <w:lang w:val="en-US" w:eastAsia="en-US" w:bidi="ar-SA"/>
        </w:rPr>
        <w:t>Kaladjian v. Jose</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2012 BCSC 357</w:t>
        </w:r>
      </w:hyperlink>
      <w:r>
        <w:rPr>
          <w:rFonts w:ascii="arial" w:eastAsia="arial" w:hAnsi="arial" w:cs="arial"/>
          <w:color w:val="000000"/>
          <w:sz w:val="20"/>
          <w:lang w:val="en-US" w:eastAsia="en-US" w:bidi="ar-SA"/>
        </w:rPr>
        <w:t xml:space="preserve"> at para. 61; and </w:t>
      </w:r>
      <w:r>
        <w:rPr>
          <w:rFonts w:ascii="arial" w:eastAsia="arial" w:hAnsi="arial" w:cs="arial"/>
          <w:i/>
          <w:color w:val="000000"/>
          <w:sz w:val="20"/>
          <w:lang w:val="en-US" w:eastAsia="en-US" w:bidi="ar-SA"/>
        </w:rPr>
        <w:t>Hurrell v. Hurrell Estate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2014 BCSC 91</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ability of the Province to plead a specific action is thus vital to the final answer in relation to that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Issue No.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res judicata, by way of issue estoppel, prevent the Director from advancing the claim in para. 61(e) of the Proposed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a species of the general law of estoppel and takes two forms -- issue estoppel and cause of action estoppel; see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(1974), 47 D.L.R. (3d) 544</w:t>
        </w:r>
      </w:hyperlink>
      <w:r>
        <w:rPr>
          <w:rFonts w:ascii="arial" w:eastAsia="arial" w:hAnsi="arial" w:cs="arial"/>
          <w:color w:val="000000"/>
          <w:sz w:val="20"/>
          <w:lang w:val="en-US" w:eastAsia="en-US" w:bidi="ar-SA"/>
        </w:rPr>
        <w:t xml:space="preserve"> (S.C.C.) at 555.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prevents a litigant from re-litigating an issue or action where the issue or action has been adjudicated in a previous proceeding as between the same parties; see Donald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4th ed (Markham: LexisNexis Canada Inc., 2015) at 1,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the author describes two policy considerations that motivate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namely, it is in the public interest to end litigation and an individual should not be subjected to being "twice vexed for the same cause"; see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at 4; </w:t>
      </w:r>
      <w:r>
        <w:rPr>
          <w:rFonts w:ascii="arial" w:eastAsia="arial" w:hAnsi="arial" w:cs="arial"/>
          <w:i/>
          <w:color w:val="000000"/>
          <w:sz w:val="20"/>
          <w:lang w:val="en-US" w:eastAsia="en-US" w:bidi="ar-SA"/>
        </w:rPr>
        <w:t>Clark v. Phinney</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(1896), 25 S.C.R. 633</w:t>
        </w:r>
      </w:hyperlink>
      <w:r>
        <w:rPr>
          <w:rFonts w:ascii="arial" w:eastAsia="arial" w:hAnsi="arial" w:cs="arial"/>
          <w:color w:val="000000"/>
          <w:sz w:val="20"/>
          <w:lang w:val="en-US" w:eastAsia="en-US" w:bidi="ar-SA"/>
        </w:rPr>
        <w:t xml:space="preserve"> at 647; and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Besides these driving policy considerations, substantive considerations are reflected in the doctrine. Judgements are presumed valid. In the </w:t>
      </w:r>
      <w:r>
        <w:rPr>
          <w:rFonts w:ascii="arial" w:eastAsia="arial" w:hAnsi="arial" w:cs="arial"/>
          <w:i/>
          <w:color w:val="000000"/>
          <w:sz w:val="20"/>
          <w:lang w:val="en-US" w:eastAsia="en-US" w:bidi="ar-SA"/>
        </w:rPr>
        <w:t>Children's Aid Society of Niagara Region v. P.(D.)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[2002] O.J. No. 4015</w:t>
        </w:r>
      </w:hyperlink>
      <w:r>
        <w:rPr>
          <w:rFonts w:ascii="arial" w:eastAsia="arial" w:hAnsi="arial" w:cs="arial"/>
          <w:color w:val="000000"/>
          <w:sz w:val="20"/>
          <w:lang w:val="en-US" w:eastAsia="en-US" w:bidi="ar-SA"/>
        </w:rPr>
        <w:t xml:space="preserve"> (S.C.J.) at para. 12, Quinn J. wrote, "</w:t>
      </w:r>
      <w:r>
        <w:rPr>
          <w:rFonts w:ascii="arial" w:eastAsia="arial" w:hAnsi="arial" w:cs="arial"/>
          <w:i/>
          <w:color w:val="000000"/>
          <w:sz w:val="20"/>
          <w:lang w:val="en-US" w:eastAsia="en-US" w:bidi="ar-SA"/>
        </w:rPr>
        <w:t>[r]es judicata pro veritate accipitur</w:t>
      </w:r>
      <w:r>
        <w:rPr>
          <w:rFonts w:ascii="arial" w:eastAsia="arial" w:hAnsi="arial" w:cs="arial"/>
          <w:color w:val="000000"/>
          <w:sz w:val="20"/>
          <w:lang w:val="en-US" w:eastAsia="en-US" w:bidi="ar-SA"/>
        </w:rPr>
        <w:t xml:space="preserve"> (commonly shortened to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loosely translated, means that a thing adjudicated is received as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Appellant argues that issue estoppel, bars the Director from advancing para. 61(e) of the Proposed Pleadings as that pleading is contrary to an existing final adjudication. Counsel for the Appellant accepts that the Appellant must satisfy three requirements in order to be able to rely on issue estoppel.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 23, Justice Arbour stated the elements of issue estoppel: " ... For issue estoppel to be successfully invoked, three preconditions must be met: (1) the issue must be the same as the one decided in the prior decision; (2) the prior judicial decision must have been final; and (3) the parties to both proceedings must be the same, or their privies". As the Master pointed out, the British Columbia Court of Appeal recently restated those elements in </w:t>
      </w:r>
      <w:r>
        <w:rPr>
          <w:rFonts w:ascii="arial" w:eastAsia="arial" w:hAnsi="arial" w:cs="arial"/>
          <w:i/>
          <w:color w:val="000000"/>
          <w:sz w:val="20"/>
          <w:lang w:val="en-US" w:eastAsia="en-US" w:bidi="ar-SA"/>
        </w:rPr>
        <w:t>Erschbamer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Did the CRA answer the same issue as the Director raises?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For issue estoppel to apply, the same issue must be raised. In other words, the same question must have already been decided in the first proceeding. In </w:t>
      </w:r>
      <w:r>
        <w:rPr>
          <w:rFonts w:ascii="arial" w:eastAsia="arial" w:hAnsi="arial" w:cs="arial"/>
          <w:i/>
          <w:color w:val="000000"/>
          <w:sz w:val="20"/>
          <w:lang w:val="en-US" w:eastAsia="en-US" w:bidi="ar-SA"/>
        </w:rPr>
        <w:t>R. v. Van Rassel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[1990] 1 S.C.R. 225</w:t>
        </w:r>
      </w:hyperlink>
      <w:r>
        <w:rPr>
          <w:rFonts w:ascii="arial" w:eastAsia="arial" w:hAnsi="arial" w:cs="arial"/>
          <w:color w:val="000000"/>
          <w:sz w:val="20"/>
          <w:lang w:val="en-US" w:eastAsia="en-US" w:bidi="ar-SA"/>
        </w:rPr>
        <w:t xml:space="preserve"> at para. 41, Justice McLachlin, for the Court, said that issue estoppel, "applies only in circumstances where it is clear from the facts that the question has already been decided"; see also </w:t>
      </w:r>
      <w:r>
        <w:rPr>
          <w:rFonts w:ascii="arial" w:eastAsia="arial" w:hAnsi="arial" w:cs="arial"/>
          <w:i/>
          <w:color w:val="000000"/>
          <w:sz w:val="20"/>
          <w:lang w:val="en-US" w:eastAsia="en-US" w:bidi="ar-SA"/>
        </w:rPr>
        <w:t>Grandview (Town) v. Doering</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(S.C.C.) at 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Binnie J.,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24, accepted and elevated Justice Middleton's more particular description of the same question test set out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(O.N.C.A.) at 422: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i/>
          <w:color w:val="000000"/>
          <w:sz w:val="20"/>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i/>
          <w:color w:val="000000"/>
          <w:sz w:val="20"/>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determine whether the Proposed Pleading attempts to re-litigate a question that the CRA already determined, it is necessary to closely consider the audit and reassessment. The CRA conducted the audit because "the income reported by Jaspal Sanghera and her spouse, Udham Sanghera does not appear to support the taxpayer's lifestyle". In essence, the CRA believed that Jaspal Sanghera or Jaspal Sanghera and Udham Sanghera had some unreported income because their reported income did not appear to match their lifestyles. This concern mirrors the pleading found at para. 58 of the Proposed Pleading that I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result of the audit showed a discrepancy between Jaspal Sanghera's reported income and her determined income on a net worth analysis. The income discrepancy was considered to be unreported income from other sources, and totalled $65,552. The November 29, 2011 CRA letter to the Appellant also raised the prospect of levying penalties, pursuant to s. 163(3)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R.S.C. 1985, c. 1(5th Supp.)</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on account,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of making false statements or omissions in a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Appellant's Notice of Objection was filed pursuant to s. 165(1)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Following receipt of the Notice of Objection the CRA sent the CRA Determination to the Appellant. The CRA thereafter refunded $11,362.49 in 2008, $10,009.56 in 2009, and $10,290.55 in 2010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CRA reassessments for the years 2008-2010 inclusive, and the CRA Determination directly address the Director's Proposed Pleading of tax evasion. The CRA has determined that, at least for these specific years, the Appellant paid the taxes required of her. As it stands, para. 61(e) of the Proposed Pleading raises the same core issue, for the years 2008-2010, as between Jaspal Sanghera and the CRA as it does between Jaspal Sanghera and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Director, in its statement of argument to the court, submitted that "[c]ause of action estoppel was not raised by the appellant in the hearing before the Master, and is not raised by the appellant on this appeal". The Director then goes on to argue under the subheading "Same Question Decided" that "the same cause of action [was] not decided" and draws a distinction between an action for forfeiture and the CRA's reassessments. Respectfully, the Director has conflated the elements of cause of action and issue estoppel. The actions being advanced are different; one of the issues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reassessments and the CRA Determination address the very issue that para. 61(e) of the Proposed Pleading seeks to revisit.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Is the CRA Determination a final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Issue estoppel only applies to "final decisions". These words raise two questions. Was the CRA Determination a "decision" for the purposes of issue estoppel and, if so, was that decision "final". Surprisingly, neither party addressed the relevant provisions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and the administrative/regulatory scheme that is pertinent. Several provisions are relevant to both the forgoing questions.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Relevant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Because the tax regime is self-reporting, tax revenues depend on the taxpayer's honesty and accuracy.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provides a comprehensive assessment regime to police accurate and honest compliance. The salient parts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are reproduced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152. (1) Assessment</w:t>
      </w:r>
      <w:r>
        <w:rPr>
          <w:rFonts w:ascii="arial" w:eastAsia="arial" w:hAnsi="arial" w:cs="arial"/>
          <w:color w:val="000000"/>
          <w:sz w:val="20"/>
          <w:lang w:val="en-US" w:eastAsia="en-US" w:bidi="ar-SA"/>
        </w:rPr>
        <w:t xml:space="preserve"> -- The Minister shall, with all due dispatch, examine a taxpayer's return of income for the taxation year, assess the tax for the year, the interest and penalties, if any, payable and determine</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refund, if any, to which the taxpayer may be entitled by virtue of section 129, 131, 132, or 133 for the year; or</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tax, if any, deemed by subsection 120(2) or (2.2), 122.5(3), 122.51(2), 122.7(2) or (3), 122.8(2) or (3), 122.9(2), 125.4(3), 125.5(3), 127.1(1), 127.41(3) or 210.2(3) or (4) to be paid on account of the taxpayer's tax payable under this Part of the year.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 Definition of "normal reassessment period"</w:t>
      </w:r>
      <w:r>
        <w:rPr>
          <w:rFonts w:ascii="arial" w:eastAsia="arial" w:hAnsi="arial" w:cs="arial"/>
          <w:color w:val="000000"/>
          <w:sz w:val="20"/>
          <w:lang w:val="en-US" w:eastAsia="en-US" w:bidi="ar-SA"/>
        </w:rPr>
        <w:t xml:space="preserve"> -- For the purposes of subsections (4), (4.01), (4.2), (4.3), (5) and (9), the normal reassessment period for a taxpayer in respect of a taxation year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the period that ends three years after the earlier of the day of sending of a notice of an original assessment under this Part in respect of the taxpayer for the year and the day of sending of an original notification that no tax is payable by the taxpayer for the year.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Assessment and reassessment [limitation period]</w:t>
      </w:r>
      <w:r>
        <w:rPr>
          <w:rFonts w:ascii="arial" w:eastAsia="arial" w:hAnsi="arial" w:cs="arial"/>
          <w:color w:val="000000"/>
          <w:sz w:val="20"/>
          <w:lang w:val="en-US" w:eastAsia="en-US" w:bidi="ar-SA"/>
        </w:rPr>
        <w:t xml:space="preserve"> -- The Minister may at any time make an assessment, reassessment or additional assessment of tax for a taxation year, interest or penalties, if any, payable under this Part by a taxpayer or notify in writing any person by whom a return of income tax for a taxation year has been filed that no tax is payable for the year, except that an assessment, reassessment or additional assessment may be made after the taxpayer's normal reassessment period in respect of the year only if</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taxpayer or person filing the return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made any misrepresentation that is attributable to neglect, carelessness or wilful default or has committed any fraud in filing the return or in supplying any information under this Act,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reassessment, or additional assessment is made before the day that is 3 years after the end of the normal reassessment period for the taxpayer in respect of the year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165. (1) Objections to assessment</w:t>
      </w:r>
      <w:r>
        <w:rPr>
          <w:rFonts w:ascii="arial" w:eastAsia="arial" w:hAnsi="arial" w:cs="arial"/>
          <w:color w:val="000000"/>
          <w:sz w:val="20"/>
          <w:lang w:val="en-US" w:eastAsia="en-US" w:bidi="ar-SA"/>
        </w:rPr>
        <w:t xml:space="preserve"> -- A taxpayer who objects to an assessment under this Part may serve on the Minister a notice of objection, in writing, setting out the reasons for the objection and all relevant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Duties of Minister</w:t>
      </w:r>
      <w:r>
        <w:rPr>
          <w:rFonts w:ascii="arial" w:eastAsia="arial" w:hAnsi="arial" w:cs="arial"/>
          <w:color w:val="000000"/>
          <w:sz w:val="20"/>
          <w:lang w:val="en-US" w:eastAsia="en-US" w:bidi="ar-SA"/>
        </w:rPr>
        <w:t xml:space="preserve"> -- On receipt of a notice of objection under this section, the Minister shall, with all due dispatch, reconsider the assessment and vacate, confirm or vary the assessment or reassess, and shall thereupon notify the taxpayer in writing of the Minister's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238. (1) Offences and punishment</w:t>
      </w:r>
      <w:r>
        <w:rPr>
          <w:rFonts w:ascii="arial" w:eastAsia="arial" w:hAnsi="arial" w:cs="arial"/>
          <w:color w:val="000000"/>
          <w:sz w:val="20"/>
          <w:lang w:val="en-US" w:eastAsia="en-US" w:bidi="ar-SA"/>
        </w:rPr>
        <w:t xml:space="preserve"> -- Every person who has failed to file or make a return as and when required by or under this Act or a regulation or who has failed to comply with subsection 116(3), 127(3.1), or (3.2), 147.1(7) or 153(1), any of section 230 to 232, 244.7 and 267 or a regulation made under subsection 147.1(18) or with an order made under subsection (2) is guilty of an offence and, in addition to any penalty otherwise provided, is liable on summary conviction to</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fine of not less than $1,000 and not more than $25,000; or</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fine described in paragraph (a) and imprisonment for a term not exceeding 12 months.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239. (1) Other offences and punishment</w:t>
      </w:r>
      <w:r>
        <w:rPr>
          <w:rFonts w:ascii="arial" w:eastAsia="arial" w:hAnsi="arial" w:cs="arial"/>
          <w:color w:val="000000"/>
          <w:sz w:val="20"/>
          <w:lang w:val="en-US" w:eastAsia="en-US" w:bidi="ar-SA"/>
        </w:rPr>
        <w:t xml:space="preserve"> -- Every person who has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or participated in, assented to or acquiesced in the making of, false or deceptive states in return, certificate, statement or answer filed or made as required by or under this Act or a regulation,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evade payment of tax imposed by this Act, destroyed, altered, mutilated, secreted, or otherwise disposed of the records or books of account of a taxpayer,</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or assented to or acquiesced in the making of, false or deceptive entries, or omitted, or assented to or acquiesced in the omission, to enter a material particular, in records or books of account of a taxpayer,</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wilfully, in any manner, evaded or attempted to evade compliance with this Act or payment of taxes imposed by this Act, or</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conspired with any person to commit an offence described by paragraphs (a) to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 in addition to any penalty otherwise provided, is liable on summary conviction to</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fine not less than 50% and not more than 200%, of the amount of the tax that was sought to be evaded,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fine described in paragraph (f) and imprisonment for a term not exceeding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Tax Collection Agreement, made between the Government of British Columbia and the Government of Canada (the "Tax Collection Agreement"), is also relevant. Under the "Administration" subheading of Chapter 4 of the Tax Collection Agreement, the Government of British Columbia agrees to accept as final and binding all assessments: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4.4(1) Canada, as agent of the Province, may collect, use and disseminate taxpayer information required by the Provincial Act to the extent authorized by the laws of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will accept as final and binding all Assessments, decisions and other steps made or taken by the Minister of National Revenue under the Provincial Act in pursuance of this Agreement.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will not demand the imposition, collection or remission of any penalty, fine or interest that is payable by a taxpayer that is or might be imposed under the Provincial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Under Chapter 1 of the Tax Collection Agreement "Province" means a province of Canada and includes the Yukon, the Northwest Territories and Nunavut, and "Provincial Act" is defined as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R.S.B.C., 1996, c. 215,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Was the CRA Determination a "decision" for the Purposes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circumstances of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are instructive.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an employee was involved in a dispute with her employer. She filed a complaint under the </w:t>
      </w:r>
      <w:r>
        <w:rPr>
          <w:rFonts w:ascii="arial" w:eastAsia="arial" w:hAnsi="arial" w:cs="arial"/>
          <w:i/>
          <w:color w:val="000000"/>
          <w:sz w:val="20"/>
          <w:lang w:val="en-US" w:eastAsia="en-US" w:bidi="ar-SA"/>
        </w:rPr>
        <w:t>Ontario Employment Standards Act</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R.S.O. 1990, c. E. 14</w:t>
        </w:r>
      </w:hyperlink>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seeking unpaid wages. An employment standards officer spoke to the employee on the phone and met with her. Before a decision was made the employee commenced a court action seeking damages for wrongful dismissal and unpaid wages.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proceedings continued and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officer rejected the employee's claim. The employee could have sought a statutory review of the decision but chose not to do so and, instead, continued with her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Binnie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decision relied on by Rosenberg J.A. in this respect relates to the generic role and function of the ESA officer: Re Downing and Graydon, supra, </w:t>
      </w:r>
      <w:hyperlink r:id="rId86" w:history="1">
        <w:r>
          <w:rPr>
            <w:rFonts w:ascii="arial" w:eastAsia="arial" w:hAnsi="arial" w:cs="arial"/>
            <w:i/>
            <w:color w:val="0077CC"/>
            <w:sz w:val="20"/>
            <w:u w:val="single"/>
            <w:shd w:val="clear" w:color="auto" w:fill="FFFFFF"/>
            <w:lang w:val="en-US" w:eastAsia="en-US" w:bidi="ar-SA"/>
          </w:rPr>
          <w:t>[1978] O.J. No. 3539</w:t>
        </w:r>
      </w:hyperlink>
      <w:r>
        <w:rPr>
          <w:rFonts w:ascii="arial" w:eastAsia="arial" w:hAnsi="arial" w:cs="arial"/>
          <w:color w:val="000000"/>
          <w:sz w:val="20"/>
          <w:lang w:val="en-US" w:eastAsia="en-US" w:bidi="ar-SA"/>
        </w:rPr>
        <w:t xml:space="preserve"> per Blair J.A., at p. 305: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employment standards officers have the power to adjudicate as well as to investigate. Their investigation is made for the purpose of providing them with information on which to base the decision they must make. The duties of the employment standards officers embrace all the important indicia of the exercise of a judicial power including the ascertainment of facts, the application of the law to those facts and the making of a decision which is binding upon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did not dispute that ESA officials could properly be given adjudicative responsibilities to be discharged in a judicial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An administrative tribunal may have judicial as well as administrative or ministerial functions. So may an administrative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One distinction between administrative and judicial decisions lies in differentiating adjudicative from investigative functions. In the latter mode the ESA officer is taking the initiative to gather information. The ESA officer acts as a self-starting investigator who is not confined within the limits of the adversarial process. The distinction between investigative and adjudicative powers is discussed in </w:t>
      </w:r>
      <w:r>
        <w:rPr>
          <w:rFonts w:ascii="arial" w:eastAsia="arial" w:hAnsi="arial" w:cs="arial"/>
          <w:i/>
          <w:color w:val="000000"/>
          <w:sz w:val="20"/>
          <w:lang w:val="en-US" w:eastAsia="en-US" w:bidi="ar-SA"/>
        </w:rPr>
        <w:t>Guay v. Lafleur</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[1965] S.C.R. 12</w:t>
        </w:r>
      </w:hyperlink>
      <w:r>
        <w:rPr>
          <w:rFonts w:ascii="arial" w:eastAsia="arial" w:hAnsi="arial" w:cs="arial"/>
          <w:color w:val="000000"/>
          <w:sz w:val="20"/>
          <w:lang w:val="en-US" w:eastAsia="en-US" w:bidi="ar-SA"/>
        </w:rPr>
        <w:t xml:space="preserve">, at pp. 17-18. The inapplicability of issue estoppel to investigations is noted by Diplock L.J. in </w:t>
      </w:r>
      <w:r>
        <w:rPr>
          <w:rFonts w:ascii="arial" w:eastAsia="arial" w:hAnsi="arial" w:cs="arial"/>
          <w:i/>
          <w:color w:val="000000"/>
          <w:sz w:val="20"/>
          <w:lang w:val="en-US" w:eastAsia="en-US" w:bidi="ar-SA"/>
        </w:rPr>
        <w:t>Thoday v. Thoday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[1964] P. 181</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pt;height:10pt">
            <v:imagedata r:id="rId89" o:title=""/>
          </v:shape>
        </w:pict>
      </w:r>
      <w:r>
        <w:rPr>
          <w:rFonts w:ascii="arial" w:eastAsia="arial" w:hAnsi="arial" w:cs="arial"/>
          <w:color w:val="000000"/>
          <w:sz w:val="20"/>
          <w:lang w:val="en-US" w:eastAsia="en-US" w:bidi="ar-SA"/>
        </w:rPr>
        <w:t xml:space="preserve"> (Eng. C.A.), at p. 197.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Although ESA officers may have non-adjudicative functions, they must exercise their adjudicative functions in a judicial manner. While they utilize procedures more flexible than those that apply in the courts, their decisions must be based on findings of fact and the application of an objective legal standard to those facts. This is characteristic of a judicial function: D.J.M. Brown and J.M. Evans, Judicial Review of Administrative Action in Canada (1998), vol. 2, s. 7:1310, p.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 too, in the present case, the CRA, in undertaking an audit, or a reassessment or in addressing the contents of a Notice of Objection, has both an investigative and adjudicative role. The CRA Determination was, however, the product of an adjudicative function and constituted a "decision". The CRA Determination, by its express terms, stated: "The Minister of National Revenue renders the following decision. Your objection is allowed and the assessment will be reversed ...".</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iii) Was the decision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final decision, for the purposes of issue estoppel, is a decision which conclusively determines the question between the parties; </w:t>
      </w:r>
      <w:r>
        <w:rPr>
          <w:rFonts w:ascii="arial" w:eastAsia="arial" w:hAnsi="arial" w:cs="arial"/>
          <w:i/>
          <w:color w:val="000000"/>
          <w:sz w:val="20"/>
          <w:lang w:val="en-US" w:eastAsia="en-US" w:bidi="ar-SA"/>
        </w:rPr>
        <w:t>Apotex Inc. v. Canada (Attorney General)</w:t>
      </w:r>
      <w:r>
        <w:rPr>
          <w:rFonts w:ascii="arial" w:eastAsia="arial" w:hAnsi="arial" w:cs="arial"/>
          <w:color w:val="000000"/>
          <w:sz w:val="20"/>
          <w:lang w:val="en-US" w:eastAsia="en-US" w:bidi="ar-SA"/>
        </w:rPr>
        <w:t xml:space="preserve"> (1996), </w:t>
      </w:r>
      <w:hyperlink r:id="rId90" w:history="1">
        <w:r>
          <w:rPr>
            <w:rFonts w:ascii="arial" w:eastAsia="arial" w:hAnsi="arial" w:cs="arial"/>
            <w:i/>
            <w:color w:val="0077CC"/>
            <w:sz w:val="20"/>
            <w:u w:val="single"/>
            <w:shd w:val="clear" w:color="auto" w:fill="FFFFFF"/>
            <w:lang w:val="en-US" w:eastAsia="en-US" w:bidi="ar-SA"/>
          </w:rPr>
          <w:t>[1997] 1 F.C. 518</w:t>
        </w:r>
      </w:hyperlink>
      <w:r>
        <w:rPr>
          <w:rFonts w:ascii="arial" w:eastAsia="arial" w:hAnsi="arial" w:cs="arial"/>
          <w:color w:val="000000"/>
          <w:sz w:val="20"/>
          <w:lang w:val="en-US" w:eastAsia="en-US" w:bidi="ar-SA"/>
        </w:rPr>
        <w:t xml:space="preserve"> (T.D), aff'd </w:t>
      </w:r>
      <w:hyperlink r:id="rId91" w:history="1">
        <w:r>
          <w:rPr>
            <w:rFonts w:ascii="arial" w:eastAsia="arial" w:hAnsi="arial" w:cs="arial"/>
            <w:i/>
            <w:color w:val="0077CC"/>
            <w:sz w:val="20"/>
            <w:u w:val="single"/>
            <w:shd w:val="clear" w:color="auto" w:fill="FFFFFF"/>
            <w:lang w:val="en-US" w:eastAsia="en-US" w:bidi="ar-SA"/>
          </w:rPr>
          <w:t>[2000] 4 F.C. 264</w:t>
        </w:r>
      </w:hyperlink>
      <w:r>
        <w:rPr>
          <w:rFonts w:ascii="arial" w:eastAsia="arial" w:hAnsi="arial" w:cs="arial"/>
          <w:color w:val="000000"/>
          <w:sz w:val="20"/>
          <w:lang w:val="en-US" w:eastAsia="en-US" w:bidi="ar-SA"/>
        </w:rPr>
        <w:t xml:space="preserve"> (C.A.). In that case MacKay J. defined "final" for the purposes of issue estoppel:</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final order in the sense that it was subject to variation only upon a successful appeal, and the Court of Appeal declined to vary that Order. It was not an order this Court could vary directly, or one it would affect indirectly by issue of a contradictory order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Donald Lange, at page 93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synthesizing the case law on this issue, writes, "[t]he test of finality for issue estoppel, therefore, is that a decision is final when the decision-making forum pronouncing it has no further jurisdiction to rehear the question or to vary or rescind the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structure that governs finality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 152(4)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the Minister may, subject to time limits, reassess or make additional assessments or assess tax, interest or penalties under Part I as circumstances require. An "assessment" is defined, in s. 248(1), as including a reassessment: Colin Campbell, </w:t>
      </w:r>
      <w:r>
        <w:rPr>
          <w:rFonts w:ascii="arial" w:eastAsia="arial" w:hAnsi="arial" w:cs="arial"/>
          <w:i/>
          <w:color w:val="000000"/>
          <w:sz w:val="20"/>
          <w:lang w:val="en-US" w:eastAsia="en-US" w:bidi="ar-SA"/>
        </w:rPr>
        <w:t>Administration of Income Tax 2016</w:t>
      </w:r>
      <w:r>
        <w:rPr>
          <w:rFonts w:ascii="arial" w:eastAsia="arial" w:hAnsi="arial" w:cs="arial"/>
          <w:color w:val="000000"/>
          <w:sz w:val="20"/>
          <w:lang w:val="en-US" w:eastAsia="en-US" w:bidi="ar-SA"/>
        </w:rPr>
        <w:t xml:space="preserve"> (Toronto: Carswell, 2016) at s. 9.7, [</w:t>
      </w:r>
      <w:r>
        <w:rPr>
          <w:rFonts w:ascii="arial" w:eastAsia="arial" w:hAnsi="arial" w:cs="arial"/>
          <w:i/>
          <w:color w:val="000000"/>
          <w:sz w:val="20"/>
          <w:lang w:val="en-US" w:eastAsia="en-US" w:bidi="ar-SA"/>
        </w:rPr>
        <w:t>Administration of Income Tax 2016</w:t>
      </w:r>
      <w:r>
        <w:rPr>
          <w:rFonts w:ascii="arial" w:eastAsia="arial" w:hAnsi="arial" w:cs="arial"/>
          <w:color w:val="000000"/>
          <w:sz w:val="20"/>
          <w:lang w:val="en-US" w:eastAsia="en-US" w:bidi="ar-SA"/>
        </w:rPr>
        <w: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152(3.1)(b)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the "normal assessment period" ends on the earlier of three years after the day of mailing of an original assessment in respect of the taxpayer for the year and the day of mailing of a notification that no tax is payable for that year.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"normal reassessment period" may be extended, in certain circumstances, to six years under s. 152(4)(b)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Importantly, s. 152(4)(a)(i)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confirms that the CRA can reassess a taxpayer "at any time" if the taxpayer has made any "misrepresentation that is attributable to neglect, carelessness or wilful default or has committed any fraud in filing the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Subject to the time limits in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s. 152(4) authorizes the Minister to reassess a taxpayer's tax for a year as often as the Minister considers appropriate. This was confirmed in </w:t>
      </w:r>
      <w:r>
        <w:rPr>
          <w:rFonts w:ascii="arial" w:eastAsia="arial" w:hAnsi="arial" w:cs="arial"/>
          <w:i/>
          <w:color w:val="000000"/>
          <w:sz w:val="20"/>
          <w:lang w:val="en-US" w:eastAsia="en-US" w:bidi="ar-SA"/>
        </w:rPr>
        <w:t>Abrams v. M.N.R. (No. 1)</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[1966] C.T.C. 690</w:t>
        </w:r>
      </w:hyperlink>
      <w:r>
        <w:rPr>
          <w:rFonts w:ascii="arial" w:eastAsia="arial" w:hAnsi="arial" w:cs="arial"/>
          <w:color w:val="000000"/>
          <w:sz w:val="20"/>
          <w:lang w:val="en-US" w:eastAsia="en-US" w:bidi="ar-SA"/>
        </w:rPr>
        <w:t xml:space="preserve"> at 692; see also the discussion in </w:t>
      </w:r>
      <w:r>
        <w:rPr>
          <w:rFonts w:ascii="arial" w:eastAsia="arial" w:hAnsi="arial" w:cs="arial"/>
          <w:i/>
          <w:color w:val="000000"/>
          <w:sz w:val="20"/>
          <w:lang w:val="en-US" w:eastAsia="en-US" w:bidi="ar-SA"/>
        </w:rPr>
        <w:t>Administration of Income Tax 2016</w:t>
      </w:r>
      <w:r>
        <w:rPr>
          <w:rFonts w:ascii="arial" w:eastAsia="arial" w:hAnsi="arial" w:cs="arial"/>
          <w:color w:val="000000"/>
          <w:sz w:val="20"/>
          <w:lang w:val="en-US" w:eastAsia="en-US" w:bidi="ar-SA"/>
        </w:rPr>
        <w:t xml:space="preserve"> at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the present case it is not clear to me whether the three-year or six-year period would run from the CRA's original correspondence to the Appellant on November 29, 2011. This is because s. 152(3.1)(b)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speaks to a three year period that begins to run on the earlier of two dates one of them being after the taxpayer is notified that no tax is payable. The November 29, 2011 letter did not achieve this. Instead, this appears to have taken place in the CRA Determination. For the reasons that follow, I need not determine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Similarly, I have no information about whether any of the circumstances giving rise to a six-year limitation period under s. 152(4)(b) are relevant. Again I do not, for the reasons that follow, have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What dictates or governs the finality of the CRA's Determination is the fact that para. 61(e) of the Proposed Pleading relies on "tax evasion in breach of s. 238 and s. 239 of the Income Tax Act". Sections 238 and 239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in turn, give rise to criminal offences. By virtue of s. 152(4)(a)(i)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no limitation period would impede the Minister's ability to revisit the CRA Determination or reassess the Appellant for 2008, 2009, 2010 if the Appellant had engaged in conduct that falls within the ambit of s. 238 and s. 239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Accordingly, the CRA Determination is not a "final" decision within the meaning of the relevant authorities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Similarly, the CRA Determination is not a "final decision"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Government of British Columbia. A taxpayer's total tax liability is the sum of their provincial and federal levied taxes. Sections 91 and 92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1867, (U.K.), 30 &amp; 31 Vict., c. 3, reprinted R.S.C. 1985, App. II, No. 5, gives the provinces the power to levy direct taxes within their boundaries and the Federal Government the ability to tax across the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this jurisdiction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 xml:space="preserve"> governs the provincial portion of a taxpayer's total tax liability;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governs the federal portion across the provinces. The Province is entitled to taxes collected pursuant to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 xml:space="preserve"> and the Government of Canada is entitled to taxes collected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To co-ordinate the administration of these tax regimes, the Government of British Columbia and the Federal Government entered into the Tax Collection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Clause 4.4(4) of the Tax Collection Agreement, the Province and the Federal Crown agreed that the Province must accept as "final and binding" all assessments, decisions, and other steps taken by the Minister under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fact that the Tax Collection Agreement binds the Province to the CRA Determination does not change the character of the CRA Determination. The Minister may revisit the CRA Determination subject to various limitation periods. Where there is an allegation of fraud or tax evasion, it is always open to the Minister to revisit the CRA Determination. In other words, the Province has no power to effect a change in a taxpayer's assessment with respect to the provincial portion of those taxes, but the Province must accept any changes to the CRA's assessment effected by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the CRA Determination is not "final" within the meaning of the cases, issue estoppel does not bar the amendments the Director seeks to make to the Proposed Pleading.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Is there Mutuality Between the Federal and Provincial Crowns for the purposes of the tax evasion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My conclusion on whether the CRA Determination is "final" determines the question of whether issue estoppel pertains. I have, however, also addressed the issue of mutuality in case I am mistaken in the views I have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privy of a party is barred by issue estoppel from re-litigating a question which has been decided in the first proceeding: see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at 79. Privity can arise from blood, title, or interest; see </w:t>
      </w:r>
      <w:r>
        <w:rPr>
          <w:rFonts w:ascii="arial" w:eastAsia="arial" w:hAnsi="arial" w:cs="arial"/>
          <w:i/>
          <w:color w:val="000000"/>
          <w:sz w:val="20"/>
          <w:lang w:val="en-US" w:eastAsia="en-US" w:bidi="ar-SA"/>
        </w:rPr>
        <w:t>Monteiro v. Toronto Dominion Bank</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[2008] O.J. No 713</w:t>
        </w:r>
      </w:hyperlink>
      <w:r>
        <w:rPr>
          <w:rFonts w:ascii="arial" w:eastAsia="arial" w:hAnsi="arial" w:cs="arial"/>
          <w:color w:val="000000"/>
          <w:sz w:val="20"/>
          <w:lang w:val="en-US" w:eastAsia="en-US" w:bidi="ar-SA"/>
        </w:rPr>
        <w:t xml:space="preserve"> (O.N.C.A) at para. 45; leave to appeal to S.C.C. ref'd </w:t>
      </w:r>
      <w:hyperlink r:id="rId94" w:history="1">
        <w:r>
          <w:rPr>
            <w:rFonts w:ascii="arial" w:eastAsia="arial" w:hAnsi="arial" w:cs="arial"/>
            <w:i/>
            <w:color w:val="0077CC"/>
            <w:sz w:val="20"/>
            <w:u w:val="single"/>
            <w:shd w:val="clear" w:color="auto" w:fill="FFFFFF"/>
            <w:lang w:val="en-US" w:eastAsia="en-US" w:bidi="ar-SA"/>
          </w:rPr>
          <w:t>[2008] S.C.C.A. No. 174</w:t>
        </w:r>
      </w:hyperlink>
      <w:r>
        <w:rPr>
          <w:rFonts w:ascii="arial" w:eastAsia="arial" w:hAnsi="arial" w:cs="arial"/>
          <w:color w:val="000000"/>
          <w:sz w:val="20"/>
          <w:lang w:val="en-US" w:eastAsia="en-US" w:bidi="ar-SA"/>
        </w:rPr>
        <w:t>. If privity exists as between the Federal and Provincial Crowns for the purposes of issue estoppel in this proceeding, it must be based on a community or unity of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Privity of interest was explained in </w:t>
      </w:r>
      <w:r>
        <w:rPr>
          <w:rFonts w:ascii="arial" w:eastAsia="arial" w:hAnsi="arial" w:cs="arial"/>
          <w:i/>
          <w:color w:val="000000"/>
          <w:sz w:val="20"/>
          <w:lang w:val="en-US" w:eastAsia="en-US" w:bidi="ar-SA"/>
        </w:rPr>
        <w:t>Gleeson v. J. Wippell &amp; Co. Ltd.</w:t>
      </w:r>
      <w:r>
        <w:rPr>
          <w:rFonts w:ascii="arial" w:eastAsia="arial" w:hAnsi="arial" w:cs="arial"/>
          <w:color w:val="000000"/>
          <w:sz w:val="20"/>
          <w:lang w:val="en-US" w:eastAsia="en-US" w:bidi="ar-SA"/>
        </w:rPr>
        <w:t>, [1977] 3 All E.R. 54 (Eng. Ch. Div.) at 59-60 where Megarry V.C.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say that one must be the alter ego of the other: but it does seem to me that, having due regard to the subject-matter of the dispute, there must be a sufficient degree of identification between the two to make it just to hold that the decision to which one was party should be binding in proceedings to which the other is party. It is in that sense that I would regard the phrase privity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Justice Binnie described the concept of privity as flexible for the purposes of the mutuality requirement of issue estoppel.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concept of "privity," of course, is somewhat elastic. The learned editors of J. Sopinka, S.N. Lederman, A.W. Bryant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2nd ed. (Toronto: Butterworths, 1999), at p. 1088, say, somewhat pessimistically, that "[i]t is impossible to be categorical about the degree of interest which will create privity" and that determinations must be made on a case-by-case basis. In this case, the parties are identical and the outer limits of "mutuality" and of the "same parties" requirement need not be further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Taylon Steepe Homes Ltd. v. Pont</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2011 BCSC 385</w:t>
        </w:r>
      </w:hyperlink>
      <w:r>
        <w:rPr>
          <w:rFonts w:ascii="arial" w:eastAsia="arial" w:hAnsi="arial" w:cs="arial"/>
          <w:color w:val="000000"/>
          <w:sz w:val="20"/>
          <w:lang w:val="en-US" w:eastAsia="en-US" w:bidi="ar-SA"/>
        </w:rPr>
        <w:t xml:space="preserve"> at para 71, referring to Justice McEachern's approach in </w:t>
      </w:r>
      <w:r>
        <w:rPr>
          <w:rFonts w:ascii="arial" w:eastAsia="arial" w:hAnsi="arial" w:cs="arial"/>
          <w:i/>
          <w:color w:val="000000"/>
          <w:sz w:val="20"/>
          <w:lang w:val="en-US" w:eastAsia="en-US" w:bidi="ar-SA"/>
        </w:rPr>
        <w:t>Saskatoon Credit Union Ltd. v. Central Park Enterprises Ltd</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Justice Ballance wrote that a determination of privity for the purposes of issue estoppel is a "justice-driven analysis". That language squares with Justice Binnie's remarks on the elasticity of the concept. Justice Arbour in </w:t>
      </w:r>
      <w:r>
        <w:rPr>
          <w:rFonts w:ascii="arial" w:eastAsia="arial" w:hAnsi="arial" w:cs="arial"/>
          <w:i/>
          <w:color w:val="000000"/>
          <w:sz w:val="20"/>
          <w:lang w:val="en-US" w:eastAsia="en-US" w:bidi="ar-SA"/>
        </w:rPr>
        <w:t>Ontario v. O.P.S.E.U.</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2003 SCC 64</w:t>
        </w:r>
      </w:hyperlink>
      <w:r>
        <w:rPr>
          <w:rFonts w:ascii="arial" w:eastAsia="arial" w:hAnsi="arial" w:cs="arial"/>
          <w:color w:val="000000"/>
          <w:sz w:val="20"/>
          <w:lang w:val="en-US" w:eastAsia="en-US" w:bidi="ar-SA"/>
        </w:rPr>
        <w:t xml:space="preserve"> at para. 11, affirmed Justice Binnie's remarks on the elasticity of the concept of privity for the purposes of issue estoppel and appeared to adopt a "somewhat relaxed approach to privity".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Director relied on </w:t>
      </w:r>
      <w:r>
        <w:rPr>
          <w:rFonts w:ascii="arial" w:eastAsia="arial" w:hAnsi="arial" w:cs="arial"/>
          <w:i/>
          <w:color w:val="000000"/>
          <w:sz w:val="20"/>
          <w:lang w:val="en-US" w:eastAsia="en-US" w:bidi="ar-SA"/>
        </w:rPr>
        <w:t>Deputy Minister of National Revenue (Customs, Excise &amp; Taxation) v. Millar</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2007 BCCA 401</w:t>
        </w:r>
      </w:hyperlink>
      <w:r>
        <w:rPr>
          <w:rFonts w:ascii="arial" w:eastAsia="arial" w:hAnsi="arial" w:cs="arial"/>
          <w:color w:val="000000"/>
          <w:sz w:val="20"/>
          <w:lang w:val="en-US" w:eastAsia="en-US" w:bidi="ar-SA"/>
        </w:rPr>
        <w:t xml:space="preserve"> at paras. 15 and 38. The case is authority for the proposition that the police and the CRA are not one indivisible entity, and therefore, unconstitutional police conduct does not taint the CRA's claim for equitable relief. The Director submits that this court ought to extract a broader proposition from this case, namely, that the Federal and Provincial Crowns are, for the purposes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also separate entities. For the reasons that follow I disagree. Nor do I accept the Appellant's broad submission that </w:t>
      </w:r>
      <w:r>
        <w:rPr>
          <w:rFonts w:ascii="arial" w:eastAsia="arial" w:hAnsi="arial" w:cs="arial"/>
          <w:i/>
          <w:color w:val="000000"/>
          <w:sz w:val="20"/>
          <w:lang w:val="en-US" w:eastAsia="en-US" w:bidi="ar-SA"/>
        </w:rPr>
        <w:t>Nickel Rim Mines Ltd v. Ontario (Attorney General)</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[1967] S.C.R. 672</w:t>
        </w:r>
      </w:hyperlink>
      <w:r>
        <w:rPr>
          <w:rFonts w:ascii="arial" w:eastAsia="arial" w:hAnsi="arial" w:cs="arial"/>
          <w:color w:val="000000"/>
          <w:sz w:val="20"/>
          <w:lang w:val="en-US" w:eastAsia="en-US" w:bidi="ar-SA"/>
        </w:rPr>
        <w:t>, "has long established that there is only one Crown in Canada". Instead the issue of mutuality as between the Federal and Provincial Crowns must be examined with reference to both the circumstances and the relevant case law for each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Appellant argues that the Tax Collection Agreement creates mutuality between the Federal and Provincial Crowns. I agree, and in particular with respect to the provincial portion of the taxpayer's total tax liability. Clause 4.4.(1) of the Tax Collection Agreement expressly refers to Canada as the agent for the Province of British Columbia with respect to the administration of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 xml:space="preserve">. Clauses 4.4.(4) and 4.4.(5) neuters the Government of British Columbia's ability to interfere with the CRA's determinations with respect to the administration of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 xml:space="preserve">. To the extent that the Federal Crown acts as agent of the Provincial Crown, the Provincial Crown is bound. The express agency relationship creates mutuality between the parties for the purposes of the administration of the </w:t>
      </w:r>
      <w:r>
        <w:rPr>
          <w:rFonts w:ascii="arial" w:eastAsia="arial" w:hAnsi="arial" w:cs="arial"/>
          <w:i/>
          <w:color w:val="000000"/>
          <w:sz w:val="20"/>
          <w:lang w:val="en-US" w:eastAsia="en-US" w:bidi="ar-SA"/>
        </w:rPr>
        <w:t>BCITA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curious, however to speak of mutuality as between the Federal and Provincial Crowns with respect to the federal portion of a taxpayer's tax liability. The Tax Collection Agreement was entered into in contemplation of the administration of the provincial portion of the income tax. The Provincial Crown has no ability or authority to collect federal taxes.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Issue No.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abuse of process, by way of issue estoppel, prevent the Director from advancing the claim in para. 61(e) of the Proposed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Appellant raised two variants of the doctrine of abuse of process, namely, abuse of process by way of collateral attack and abuse of process by way of re-litigation. The doctrine of abuse of process is rooted in the inherent jurisdiction and residual discretion of the courts to control its own process; see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 35. While the interests of the litigants drive issue estoppel, the maintenance of the integrity of the justice system motivates the doctrine of abuse of process; see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at 188; and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Abuse of Process by way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Appellant appeared, on the record, to advance a theory of abuse of process by way of collateral attack. That theory, during the hearing, was abandoned. A collateral attack challenges a ruling or order, but does not seek to re-litigate the order for the purposes of a different claim with different legal consequences as in the present case; see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Put differently, the doctrine of collateral attack is designed to prevent an unsatisfied litigant from re-litigating a ruling or order outside of the available appeal process. The Director is not attempting to overturn the CRA Determination. The Director is trying to contest, for the purposes of a different claim with different legal consequences, whether the Appellant evaded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the doctrine of abuse of process by way of collateral attack does not apply to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Abuse of Process by way of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application of the doctrine of abuse of process by way of re-litigation of the same issue or question gives rise to an exercise in discretion; see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paras. 35 and 37. That discretion is structured by the jurisprudence, which is in turn motivated by opposing policies. On the one hand, it is in the interest of justice that parties are able to seek redress from a court; on the other hand, the promotion and protection of judicial economy, consistency, finality and the integrity of the administration of justice is also in the interest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these opposing policy considerations in mind, it is not surprising that the jurisprudence that governs abuse of process by way of re-litigation struggles with preserving sufficient flexibility in the doctrine to promote and protect judicial economy, consistency, finality and the integrity of the administration of justice while, at the same time, narrowing the doctrine's scope to prevent the unfair and unjust deprivation of a party's ability to seek redress from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Abuse of process by way of re-litigation is recognized as an extraordinary remedy. McLachlin C.J. in </w:t>
      </w:r>
      <w:r>
        <w:rPr>
          <w:rFonts w:ascii="arial" w:eastAsia="arial" w:hAnsi="arial" w:cs="arial"/>
          <w:i/>
          <w:color w:val="000000"/>
          <w:sz w:val="20"/>
          <w:lang w:val="en-US" w:eastAsia="en-US" w:bidi="ar-SA"/>
        </w:rPr>
        <w:t>R. v. Mahalingan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2008 SCC 63</w:t>
        </w:r>
      </w:hyperlink>
      <w:r>
        <w:rPr>
          <w:rFonts w:ascii="arial" w:eastAsia="arial" w:hAnsi="arial" w:cs="arial"/>
          <w:color w:val="000000"/>
          <w:sz w:val="20"/>
          <w:lang w:val="en-US" w:eastAsia="en-US" w:bidi="ar-SA"/>
        </w:rPr>
        <w:t xml:space="preserve"> at para. 42, wrote of the doctrine of abuse of process by way of re-litigation that "successful reliance on the doctrine will be extremely rare". The Ontario Court of Appeal echoed Justice McLachlin's words in </w:t>
      </w:r>
      <w:r>
        <w:rPr>
          <w:rFonts w:ascii="arial" w:eastAsia="arial" w:hAnsi="arial" w:cs="arial"/>
          <w:i/>
          <w:color w:val="000000"/>
          <w:sz w:val="20"/>
          <w:lang w:val="en-US" w:eastAsia="en-US" w:bidi="ar-SA"/>
        </w:rPr>
        <w:t>Phillion v. Ontario (Attorney General)</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2014 ONCA 567</w:t>
        </w:r>
      </w:hyperlink>
      <w:r>
        <w:rPr>
          <w:rFonts w:ascii="arial" w:eastAsia="arial" w:hAnsi="arial" w:cs="arial"/>
          <w:color w:val="000000"/>
          <w:sz w:val="20"/>
          <w:lang w:val="en-US" w:eastAsia="en-US" w:bidi="ar-SA"/>
        </w:rPr>
        <w:t xml:space="preserve"> at para. 49, leave to appeal ref'd </w:t>
      </w:r>
      <w:hyperlink r:id="rId102" w:history="1">
        <w:r>
          <w:rPr>
            <w:rFonts w:ascii="arial" w:eastAsia="arial" w:hAnsi="arial" w:cs="arial"/>
            <w:i/>
            <w:color w:val="0077CC"/>
            <w:sz w:val="20"/>
            <w:u w:val="single"/>
            <w:shd w:val="clear" w:color="auto" w:fill="FFFFFF"/>
            <w:lang w:val="en-US" w:eastAsia="en-US" w:bidi="ar-SA"/>
          </w:rPr>
          <w:t>[2014] S.C.C.A. No. 411</w:t>
        </w:r>
      </w:hyperlink>
      <w:r>
        <w:rPr>
          <w:rFonts w:ascii="arial" w:eastAsia="arial" w:hAnsi="arial" w:cs="arial"/>
          <w:color w:val="000000"/>
          <w:sz w:val="20"/>
          <w:lang w:val="en-US" w:eastAsia="en-US" w:bidi="ar-SA"/>
        </w:rPr>
        <w:t>, stating, "[orders dismissing an action as an abuse of process] are only to be granted in the clearest cases and only when allowing the action to proceed would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descriptors "extremely rare" and "clearest case" are clues that guide the judicial exercise of discretion, but the cases struggle with placing clearer restrictions on the doctrine's application. The first precondition that the same issue be re-litigated is uncontroverted. The doctrine's namesake is this precondition.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Two other preconditions may have to be satisfied to make the doctrine of abuse of process by re-litigation available to the court to bar a second proceeding. The jurisprudence is not clear. The first and relatively less controversial restriction placed on the doctrine, is that the existence of abuse of process must be allied with an additional element to justify its application. The second and relatively more controversial restriction placed on the doctrine, is that the decision in the first proceeding be final. I have developed each of these preconditions in turn with an eye on Justice Binnie's remark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1, "a judicial doctrine developed to serve the ends of justice should not be applied mechanically to work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Justice Arbour did not expressly say that "something more" is a necessary precondition for the application of the doctrine of abuse of process by re-litigation; however, she cited a number of cases that suggest "something more" is required. Indeed, she begins her analysis of abuse of process quoting a passage from McLachlin J. (as she then was)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xml:space="preserve"> (S.C.C.) at 1007: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abuse of process may be established where: (1) </w:t>
      </w:r>
      <w:r>
        <w:rPr>
          <w:rFonts w:ascii="arial" w:eastAsia="arial" w:hAnsi="arial" w:cs="arial"/>
          <w:color w:val="000000"/>
          <w:sz w:val="20"/>
          <w:u w:val="single"/>
          <w:lang w:val="en-US" w:eastAsia="en-US" w:bidi="ar-SA"/>
        </w:rPr>
        <w:t>the proceedings are oppressive or vexatious; and</w:t>
      </w:r>
      <w:r>
        <w:rPr>
          <w:rFonts w:ascii="arial" w:eastAsia="arial" w:hAnsi="arial" w:cs="arial"/>
          <w:color w:val="000000"/>
          <w:sz w:val="20"/>
          <w:lang w:val="en-US" w:eastAsia="en-US" w:bidi="ar-SA"/>
        </w:rPr>
        <w:t>, (2) violate the fundamental principles of justice underlying the community's sense of fair play and decency. The concepts of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Justice McLachlin used the conjunctive between the two elements that she describes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"Oppressive or vexatious" can be read as the "something more" condition. If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is read with Justice McLachlin's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remarks in </w:t>
      </w:r>
      <w:r>
        <w:rPr>
          <w:rFonts w:ascii="arial" w:eastAsia="arial" w:hAnsi="arial" w:cs="arial"/>
          <w:i/>
          <w:color w:val="000000"/>
          <w:sz w:val="20"/>
          <w:lang w:val="en-US" w:eastAsia="en-US" w:bidi="ar-SA"/>
        </w:rPr>
        <w:t>R. v. Mahalingan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2008 SCC 63</w:t>
        </w:r>
      </w:hyperlink>
      <w:r>
        <w:rPr>
          <w:rFonts w:ascii="arial" w:eastAsia="arial" w:hAnsi="arial" w:cs="arial"/>
          <w:color w:val="000000"/>
          <w:sz w:val="20"/>
          <w:lang w:val="en-US" w:eastAsia="en-US" w:bidi="ar-SA"/>
        </w:rPr>
        <w:t>, there is additional support for the proposition that something more than re-litigation is required. Justice McLachlin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To date, the doctrine has not been much used to protect against relitigation, and indeed there is authority for the proposition that relitigation, without more, simply does not reach the threshold required for a finding of abuse of process: </w:t>
      </w:r>
      <w:r>
        <w:rPr>
          <w:rFonts w:ascii="arial" w:eastAsia="arial" w:hAnsi="arial" w:cs="arial"/>
          <w:i/>
          <w:color w:val="000000"/>
          <w:sz w:val="20"/>
          <w:lang w:val="en-US" w:eastAsia="en-US" w:bidi="ar-SA"/>
        </w:rPr>
        <w:t>Bradford &amp; Bingley Building Society v. Seddon</w:t>
      </w:r>
      <w:r>
        <w:rPr>
          <w:rFonts w:ascii="arial" w:eastAsia="arial" w:hAnsi="arial" w:cs="arial"/>
          <w:color w:val="000000"/>
          <w:sz w:val="20"/>
          <w:lang w:val="en-US" w:eastAsia="en-US" w:bidi="ar-SA"/>
        </w:rPr>
        <w:t>, [1999] 1 W.L.R. 1482 (Eng. C.A.), at pp. 1492-93.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Fraser v. Westminer Canada Ltd.</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[2001] N.S.J. No. 495</w:t>
        </w:r>
      </w:hyperlink>
      <w:r>
        <w:rPr>
          <w:rFonts w:ascii="arial" w:eastAsia="arial" w:hAnsi="arial" w:cs="arial"/>
          <w:color w:val="000000"/>
          <w:sz w:val="20"/>
          <w:lang w:val="en-US" w:eastAsia="en-US" w:bidi="ar-SA"/>
        </w:rPr>
        <w:t xml:space="preserve"> (S.C.) at para. 24; and </w:t>
      </w:r>
      <w:r>
        <w:rPr>
          <w:rFonts w:ascii="arial" w:eastAsia="arial" w:hAnsi="arial" w:cs="arial"/>
          <w:i/>
          <w:color w:val="000000"/>
          <w:sz w:val="20"/>
          <w:lang w:val="en-US" w:eastAsia="en-US" w:bidi="ar-SA"/>
        </w:rPr>
        <w:t>Dhaliwal v. Canada (Minister of Citizenship &amp; Immigration)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[2001] F.C.J. No. 1943</w:t>
        </w:r>
      </w:hyperlink>
      <w:r>
        <w:rPr>
          <w:rFonts w:ascii="arial" w:eastAsia="arial" w:hAnsi="arial" w:cs="arial"/>
          <w:color w:val="000000"/>
          <w:sz w:val="20"/>
          <w:lang w:val="en-US" w:eastAsia="en-US" w:bidi="ar-SA"/>
        </w:rPr>
        <w:t xml:space="preserve"> (T.D.) at paras.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Sanogi-Aventis Canada Inc. v. Novopharm Ltd.</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[2007] F.C.J. No. 548</w:t>
        </w:r>
      </w:hyperlink>
      <w:r>
        <w:rPr>
          <w:rFonts w:ascii="arial" w:eastAsia="arial" w:hAnsi="arial" w:cs="arial"/>
          <w:color w:val="000000"/>
          <w:sz w:val="20"/>
          <w:lang w:val="en-US" w:eastAsia="en-US" w:bidi="ar-SA"/>
        </w:rPr>
        <w:t xml:space="preserve"> (C.A.) at para. 43, the majority of the Federal Court of Appeal, however, read Justice Arbour's decision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as not requiring an additional element to trigger the application of the doctrine. Sexton J.A. for the court reasoned that Justice Arbour did not find that something more was present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but nevertheless barred the re-litigation of the issue as an abuse of process. In dissent Justice Nadon reasoned that the additional element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was implicit in the factual matrix of the decision, namely, the re-litigation of a criminal conviction; see also the extended discussion of this issue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at pp.119-202.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precondition of finality with respect to the first decision is more complicated and controversial.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the author, at page 213, states that the first decision must be final for the application of abuse of process by re-litigation. To support that proposition the author refers to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xml:space="preserve"> where Smith J.A., at para. 41 and in separate concurring reasons, extracted the following requirements for the doctrine:</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are not the same in both actions;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prior judicial decision is final</w:t>
      </w: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action seeks to relitigate an issue decided in the prior action; and</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relitigate the issue would have the effect of impugning the authority and finality of the judgment in the prior action and concerns would arise in the minds of reasonable observers about the integrity of the justice system if the judgments should be inconsistent.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that separate decision is not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this Court in </w:t>
      </w:r>
      <w:r>
        <w:rPr>
          <w:rFonts w:ascii="arial" w:eastAsia="arial" w:hAnsi="arial" w:cs="arial"/>
          <w:i/>
          <w:color w:val="000000"/>
          <w:sz w:val="20"/>
          <w:lang w:val="en-US" w:eastAsia="en-US" w:bidi="ar-SA"/>
        </w:rPr>
        <w:t>Lougheed Estate v. Wilson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2012 BCSC 169</w:t>
        </w:r>
      </w:hyperlink>
      <w:r>
        <w:rPr>
          <w:rFonts w:ascii="arial" w:eastAsia="arial" w:hAnsi="arial" w:cs="arial"/>
          <w:color w:val="000000"/>
          <w:sz w:val="20"/>
          <w:lang w:val="en-US" w:eastAsia="en-US" w:bidi="ar-SA"/>
        </w:rPr>
        <w:t xml:space="preserve"> at para. 86, Dardi J. wrote, "as with issue estoppel, the requirement of finality is a constituent element of the doctrine of abuse of process as it pertains to relitigation". However, Dardi J. establishes that principle of law by relying on authorities that establish that finality is a constituent element of issue estoppel. Dardi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discussing this requirement, Roscoe J.A. in </w:t>
      </w:r>
      <w:r>
        <w:rPr>
          <w:rFonts w:ascii="arial" w:eastAsia="arial" w:hAnsi="arial" w:cs="arial"/>
          <w:i/>
          <w:color w:val="000000"/>
          <w:sz w:val="20"/>
          <w:lang w:val="en-US" w:eastAsia="en-US" w:bidi="ar-SA"/>
        </w:rPr>
        <w:t>2301072 Nova Scotia Ltd. v. Lienaux</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2005 NSCA 97</w:t>
        </w:r>
      </w:hyperlink>
      <w:r>
        <w:rPr>
          <w:rFonts w:ascii="arial" w:eastAsia="arial" w:hAnsi="arial" w:cs="arial"/>
          <w:color w:val="000000"/>
          <w:sz w:val="20"/>
          <w:lang w:val="en-US" w:eastAsia="en-US" w:bidi="ar-SA"/>
        </w:rPr>
        <w:t xml:space="preserve"> (N.S. C.A.) at para. 32, leave to appeal to SCC refused, </w:t>
      </w:r>
      <w:hyperlink r:id="rId110" w:history="1">
        <w:r>
          <w:rPr>
            <w:rFonts w:ascii="arial" w:eastAsia="arial" w:hAnsi="arial" w:cs="arial"/>
            <w:i/>
            <w:color w:val="0077CC"/>
            <w:sz w:val="20"/>
            <w:u w:val="single"/>
            <w:shd w:val="clear" w:color="auto" w:fill="FFFFFF"/>
            <w:lang w:val="en-US" w:eastAsia="en-US" w:bidi="ar-SA"/>
          </w:rPr>
          <w:t>[2007] S.C.C.A. No. 388</w:t>
        </w:r>
      </w:hyperlink>
      <w:r>
        <w:rPr>
          <w:rFonts w:ascii="arial" w:eastAsia="arial" w:hAnsi="arial" w:cs="arial"/>
          <w:color w:val="000000"/>
          <w:sz w:val="20"/>
          <w:lang w:val="en-US" w:eastAsia="en-US" w:bidi="ar-SA"/>
        </w:rPr>
        <w:t xml:space="preserve">, [2006] 1 S.C.R. xi (S.C.C.), cited the following excerpts from Donald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(Markham, ON: Butterworths Canada Ltd., 2000), at 77: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must be a final decision. </w:t>
      </w:r>
      <w:r>
        <w:rPr>
          <w:rFonts w:ascii="arial" w:eastAsia="arial" w:hAnsi="arial" w:cs="arial"/>
          <w:color w:val="000000"/>
          <w:sz w:val="20"/>
          <w:u w:val="single"/>
          <w:lang w:val="en-US" w:eastAsia="en-US" w:bidi="ar-SA"/>
        </w:rPr>
        <w:t>A final decision for the purposes of issue estoppel</w:t>
      </w:r>
      <w:r>
        <w:rPr>
          <w:rFonts w:ascii="arial" w:eastAsia="arial" w:hAnsi="arial" w:cs="arial"/>
          <w:color w:val="000000"/>
          <w:sz w:val="20"/>
          <w:lang w:val="en-US" w:eastAsia="en-US" w:bidi="ar-SA"/>
        </w:rPr>
        <w:t xml:space="preserve"> is a decision which conclusively determines the questions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test for finality for issue estoppel</w:t>
      </w:r>
      <w:r>
        <w:rPr>
          <w:rFonts w:ascii="arial" w:eastAsia="arial" w:hAnsi="arial" w:cs="arial"/>
          <w:color w:val="000000"/>
          <w:sz w:val="20"/>
          <w:lang w:val="en-US" w:eastAsia="en-US" w:bidi="ar-SA"/>
        </w:rPr>
        <w:t>, therefore, is that a decision is final when the decision-making forum pronouncing it has no further jurisdiction to rehear the question or to vary or rescind the finding.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am mindful that Justice Arbour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did not expressly state that a final decision was necessary at first instance for the doctrine of abuse of process by re-litigation to bar a second proceeding.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Justice Arbour addressed the controversy of whether issue estoppel ought to be reformed to relax the mutuality requirement following American jurisprudence. She chose, however, to keep issue estoppel intact, preferring to develop the doctrine of abuse of process by re-litigation to bar the case before her from being re-litigated; see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paras. 37 and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developing the doctrine, Arbour J. appeared to suggest that finality might not be a precondition to the application of the doctrine. At para. 42 she writes, "the attraction of the doctrine of abuse of process is that it is unencumbered by the specific </w:t>
      </w:r>
      <w:r>
        <w:rPr>
          <w:rFonts w:ascii="arial" w:eastAsia="arial" w:hAnsi="arial" w:cs="arial"/>
          <w:color w:val="000000"/>
          <w:sz w:val="20"/>
          <w:u w:val="single"/>
          <w:lang w:val="en-US" w:eastAsia="en-US" w:bidi="ar-SA"/>
        </w:rPr>
        <w:t>requirements</w:t>
      </w:r>
      <w:r>
        <w:rPr>
          <w:rFonts w:ascii="arial" w:eastAsia="arial" w:hAnsi="arial" w:cs="arial"/>
          <w:color w:val="000000"/>
          <w:sz w:val="20"/>
          <w:lang w:val="en-US" w:eastAsia="en-US" w:bidi="ar-SA"/>
        </w:rPr>
        <w:t xml:space="preserv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offering the discretion to prevent relitigation" [emphasis added]. She affirmed and elevated Justice Goudge's remarks at para. 39, "Canadian courts have applied the doctrine of abuse of process to preclude relitigation in circumstances where the strict requirements of issue estoppel (</w:t>
      </w:r>
      <w:r>
        <w:rPr>
          <w:rFonts w:ascii="arial" w:eastAsia="arial" w:hAnsi="arial" w:cs="arial"/>
          <w:color w:val="000000"/>
          <w:sz w:val="20"/>
          <w:u w:val="single"/>
          <w:lang w:val="en-US" w:eastAsia="en-US" w:bidi="ar-SA"/>
        </w:rPr>
        <w:t>typically</w:t>
      </w:r>
      <w:r>
        <w:rPr>
          <w:rFonts w:ascii="arial" w:eastAsia="arial" w:hAnsi="arial" w:cs="arial"/>
          <w:color w:val="000000"/>
          <w:sz w:val="20"/>
          <w:lang w:val="en-US" w:eastAsia="en-US" w:bidi="ar-SA"/>
        </w:rPr>
        <w:t xml:space="preserve"> the privity/mutuality requirements) are not met" [emphasis added]. There are only three necessary elements to issue estoppel. If finality were a strict requirement for abuse of process by re-litigation it would simply be a form of issue estoppel without mutuality, which would beg the question, why did Justice Arbour expressly decline to reform issue estoppel to follow American jurisprudence on that point? See also the discussion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at p.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Though there is authority for the proposition that the judgement rendered in the first proceeding must be "final" as a precondition for the application of the doctrine of abuse of process by re-litigation, I do not consider that I need to decide that question. Ultimately, the doctrine of abuse of process by way of re-litigation is a discretionary doctrine that must be exercised sparingly. While it may be the case that finality is not a necessary precondition for the application of the doctrine, it is at minimum, a consideration for the exercise of this discretionary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not satisfied that the re-litigation of CRA Determination amounts to an abuse of process given that (a) the doctrine is only to be applied sparingly, (b) the Appellant has not established that there is an additional element beyond relitigation that addresses the underlying policy of promoting and protecting judicial economy, consistency, finality and the integrity of the administration of justice; and (c) the CRA Determination is not final. At bottom, I do not consider that the Proposed Pleading, insofar as it raises questions of tax evasion, brings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Though the parties did not raise this issue, I observe that if the Director's application for forfeiture proceeded on the ground of tax evasion, the Director might potentially obtain property, by way of civil forfeiture, to which the Federal Crown would otherwise be entitled. Reduced to simple terms, the offence of tax evasion requires that a taxpayer fail to pay outstanding taxes. If the Director successfully grounds a claim for forfeiture in tax evasion, then the proceeds that will be forfeited to the Provincial Crown would be unpaid taxes -- a portion of which are federal levied taxes. Whether the Government of British Columbia can use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to effectively claim/recover unpaid federal taxes potentially raises a constitutional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Finally, by virtue of the conclusions that I have arrived at, I do not consider that it is necessary or appropriate for me to address s. 18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Section 18 enables the Director to commence a civil action based on specific unlawful conduct even though a defendant may not have been charged with an offence in relation to that conduct or the defendant may have been acquitted of the offence that engages that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costs of this appeal are to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Buchanan v. Real Estate Board of Greater Vancouver, [2015] B.C.J. No. 2952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S118756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2952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263 A.C.W.S. (3d)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C.C.L.T. (4th)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3953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Buchanan, Plaintiff, and Real Estate Board of Greater Vancouver, Arnelle Starnaman and Kim Spencer,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1"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Legal profession — Barristers and solicitors — Relationship with client — Conflict of interest — Lawyer acting for more than one party — Application by plaintiff realtor for order revoking consent to joint retainer of law firm by defendants, order enjoining law firm from acting as counsel for any of defendants, and order adding two new personal defendants dismissed — Cross-application by defendants to strike plaintiff's claims against current personal defendants allowed — Current and proposed personal defendants were officers of defendant Real Estate Board — Law firm not required to seek plaintiff's permission to represent all defendants — Plaintiff not entitled to raise conflict of interest issue because alleged conflicts affected interests of opposing parties and not his own.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Independence — Conflicts of interest — Professions — Legal — Barristers and solicitors — Application by plaintiff realtor for order revoking consent to joint retainer of law firm by defendants, order enjoining law firm from acting as counsel for any of defendants, and order adding two new personal defendants dismissed — Cross-application by defendants to strike plaintiff's claims against current personal defendants allowed — Current and proposed personal defendants were officers of defendant Real Estate Board — Law firm not required to seek plaintiff's permission to represent all defendants — Plaintiff not entitled to raise conflict of interest issue because alleged conflicts affected interests of opposing parties and not his own.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contractual relations — Elements of tort — Personal liability — Corporate officer — Application by plaintiff realtor for order revoking consent to joint retainer of law firm by defendants, order enjoining law firm from acting as counsel for any of defendants, and order adding two new personal defendants dismissed — Cross-application by defendants to strike plaintiff's claims against current personal defendants allowed — Current and proposed personal defendants were officers of defendant Real Estate Board — Law firm not required to seek plaintiff's permission to represent all defendants — Plaintiff had no reasonable cause of action in conspiracy or intentional inference with contractual relations against current or proposed personal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Conspiracy — Practice and procedure — Pleadings — Evidence — Co-conspirators — Application by plaintiff realtor for order revoking any consent to joint retainer of law firm by defendants, order enjoining law firm from acting as counsel for any of defendants, and order adding two new personal defendants dismissed — Cross-application by defendants to strike plaintiff's claims against current personal defendants allowed — Current and proposed personal defendants were officers of defendant Real Estate Board — Law firm not required to seek plaintiff's permission to represent all defendants — Plaintiff had no reasonable cause of action in conspiracy or intentional inference with contractual relations against current or proposed personal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Adding or striking out claim — Parties — Adding or striking out parties — Application by plaintiff realtor for order revoking any consent to joint retainer of law firm by defendants, order enjoining law firm from acting as counsel for any of defendants, and order adding two new personal defendants dismissed — Cross-application by defendants to strike plaintiff's claims against current personal defendants allowed — Current and proposed personal defendants were officers of defendant Real Estate Board — Law firm not required to seek plaintiff's permission to represent all defendants — Plaintiff had no reasonable cause of action in conspiracy or intentional inference with contractual relations against current or proposed personal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realtor for an order revoking any consent to the joint retainer of the law firm by the defendants, an order enjoining the law firm as acting as counsel for any of the defendants, and an order adding two new personal defendants. Cross-application by the defendants seeking to strike the plaintiff's claims against the current personal defendants. The current and proposed personal defendants were officers of the defendant Real Estate Board. In 2011, the plaintiff had filed a claim against the Board and the personal defendants alleging the Board had improperly disciplined him, had conspired against him, and had intentionally interfered with his employment. He claimed damages under the Competition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1"/>
            <w:bookmarkEnd w:id="22"/>
            <w:r>
              <w:rPr>
                <w:rFonts w:ascii="arial" w:eastAsia="arial" w:hAnsi="arial" w:cs="arial"/>
                <w:color w:val="000000"/>
                <w:sz w:val="20"/>
                <w:lang w:val="en-US" w:eastAsia="en-US" w:bidi="ar-SA"/>
              </w:rPr>
              <w:t>HELD: Application dismissed; cross-application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 firm was not required to seek the plaintiff's permission to represent all the defendants. The plaintiff was not entitled to raise the conflict of interest issue because the alleged conflicts affected the interests of the opposing parties and not his own. The plaintiff had no viable claims against the current or proposed personal defendants pursuant to the Competition Act as they were not competitors of each other or the Board. The plaintiff could not advance the claim of interference with contractual relations against the proposed personal defendants as he was unable to allege they acted independently from their role as officers of the Board. His claims of civil conspiracy against the existing and proposed defendants could not succeed because of the lack of distinct unlawful acts committed by those defendants in their personal capacities. The plaintiff's pleadings did not disclose a reasonable cause of action against the personal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2"/>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2"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Competition Act, </w:t>
      </w:r>
      <w:hyperlink r:id="rId118"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 s. 45,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Society Act, </w:t>
      </w:r>
      <w:hyperlink r:id="rId119"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 Rule 6-2(7)(b), Rule 6-2(7)(c), Rule 9-5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P. Buchanan.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Bennett,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4"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C.A. WEDGE J. (orally)"/>
            <w:bookmarkEnd w:id="26"/>
            <w:r>
              <w:rPr>
                <w:rFonts w:ascii="arial" w:eastAsia="arial" w:hAnsi="arial" w:cs="arial"/>
                <w:b/>
                <w:color w:val="000000"/>
                <w:sz w:val="30"/>
                <w:lang w:val="en-US" w:eastAsia="en-US" w:bidi="ar-SA"/>
              </w:rPr>
              <w:t>C.A. WEDGE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the Court. The first has been brought by the plaintiff in this action, and the second is a cross-application brought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application the plaintiff seeks a number of orders which I will summarize as follows: first, an order revoking any consent express or implied that the plaintiff may have made to the joint retainer of Bull Housser &amp; Tupper by the defendants; second, an order enjoining Bull Housser from acting as counsel for any and all of the defendants and proposed defendants, and enjoining the defendants and proposed defendants from being jointly represented; third, an order adding two new personal defendants, namely Brad Scott and Robert Wallace; and finally, an order requiring the defendants to produce a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oppose the orders sought by the plaintiff. The defendants in their cross-application seek to strike the plaintiff's present claims against personal defendants Arnelle Starnaman and Kim Spencer pursuant to Rule 9-5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The plaintiff opposes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By way of background the plaintiff is a realtor and member of the defendant Real Estate Board of Greater Vancouver. The Board is a society incorporated pursuant to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Arnelle Starnaman is employed by the Board as a business practices officer, and the defendant Kim Spencer is employed as a manager of professional standards. The proposed defendant Brad Scott is the current chief executive officer of the Board, and the proposed defendant Robert Wallace is the former chief executive officer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December 21, 2011, the plaintiff filed a notice of civil claim against the Board and the current personal defendants alleging that: first, the Board has breached its contract with him by, among other things, improperly disciplining him, applying discipline in a discriminatory manner, harassing him and his management broker and interfering with his advertising; second, the Board and the current personal defendants have "intentionally and wrongfully interfered with the employment contract he had with One Percent Realty"; third, the Board and the personal defendants committed the tort of civil conspiracy in that they unlawfully conspired among each other to damage the plaintiff's business; and fourthly, the Board and the personal defendants are liable to the plaintiff for damages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as they have agreed and arranged between themselves to engage in a course of conduct that has lessened and reduced competition between members for the provision of real estate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factual background is as follows: on January 4, 2012, after the notice of civil claim was filed by the plaintiff on December 21, 2011, Daniel Bennett of Bull Housser &amp; Tupper wrote to then counsel for the plaintiff, Johannes Schenk by email and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act for the Board and have been provided your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propose that we file one Response on or before January 25,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let me know if that is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9, 2012, Mr. Schenk wrote to Mr. Bennett by email and confirmed that the defendants would file one response by the date suggested by Mr.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23, 2012, the defendants filed their response to civil claim. On February 12, 2013, Mr. Schenk emailed Mr. Bennett and advised that he was no longer acting for Mr. Buchanan. He attached to his email the plaintiff's list of documents and the plaintiff's notice of intention to act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took no further steps to advance the action until nearly two years later, on December 11, 2014, when he filed a notice of intention to proceed. On January 14, 2015, the plaintiff wrote to Mr. Bennett by email and requested his available dates for a case planning conference. The parties subsequently agreed to schedule a conference on March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23, the plaintiff provided counsel for the defendants with an unfiled case plan proposal that provided among other things that, first, the parties' document lists should be produced within 120 days from March 16; and second, that the plaintiff's notice of application seeking orders to add or change parties in respect of counsel should be filed by March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February 25 the defendants filed a responding case plan proposal. The defendants' proposal consented to the two procedural timelines noted above. The conference proceeded on March 16, 2015 before Master Tokarek. At the conference, the plaintiff's submissions were limited to two issues. First, he advised that he wished to add Brad Scott and Robert Wallace as defendants in the action. Secondly, he advised that he wished to have Bull Housser enjoined from acting as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Master Tokarek advised the plaintiff that the relief he was seeking was not available at a case planning conference and that he would have to bring a separate application for the orders he was seeking. The plaintiff accordingly brought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and proposed defendants' position with respect to the relief sought by the plaintiff is as follows: first, that the plaintiff is not entitled to an order "revoking his consent" to Bull Housser's joint retainer, as his consent was never requested or required; second, the plaintiff is not entitled to orders enjoining Bull Housser from acting as counsel for any and all of the defendants and proposed defendants, and enjoining the defendants and proposed defendants from being jointly represented. The defendants argue that the plaintiff is not entitled to raise a conflict of interest where the alleged conflict affects the interest of other parties as opposed to his own; third, the plaintiff's application to add Mr. Scott and Mr. Wallace as defendants should be dismissed. The defendants argue that the plaintiff has not pled material facts establishing a viable cause of action against the proposed defendants in their personal capacities; and finally, the defendants argue that they have not yet produced a list of documents because the plaintiff agreed to extend the deadline provided in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turn first to the request for an order revoking consent to Bull Housser's joint retainer by the defendants. The plaintiff's request for this order is premised on his belief that his consent was required in order for Bull Housser to jointly represent all defendants. At paragraph 2 of part 2 of his notice of application the plaintiff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4, 2012, Daniel R. Bennett and the law firm of Bull Housser &amp; Tupper (BHT) requested the plaintiff's consent to represent all of the defendants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referring to the email sent by Bull Housser on January 4, 2015. In that email counsel simply advised the plaintiff's counsel of its joint retainer and requested an extension to file a response to the civil claim on or before January 25. I am satisfied based on the correspondence that Bull Housser did not seek the plaintiff's permission to represent all the defendants. Nor, in my view, was counsel required to seek that permission. Accordingly I must decline to grant this order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turn then to the request for orders enjoining Bull Housser from representing the defendants and proposed defendants. The plaintiff's request for those orders is premised on his understanding that Bull Housser's joint representation gives rise to a conflict of interest as between the defendants and the proposed defendants. He says their interests are not aligned.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has an inherent jurisdiction to remove from the record solicitors who have a conflict of interest in the proceedings. The Court's jurisdiction is based on the fact that lawyers are officers of the court and their conduct in legal proceedings which may affect the administration of justice is subject to the Court's supervisory jurisdiction. In this regard I cite </w:t>
      </w:r>
      <w:r>
        <w:rPr>
          <w:rFonts w:ascii="arial" w:eastAsia="arial" w:hAnsi="arial" w:cs="arial"/>
          <w:i/>
          <w:color w:val="000000"/>
          <w:sz w:val="20"/>
          <w:lang w:val="en-US" w:eastAsia="en-US" w:bidi="ar-SA"/>
        </w:rPr>
        <w:t>MacDonald Estate v. Martin</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in the present application the plaintiff is seeking to have Bull Housser removed from the record on the basis of an alleged conflict of interest arising from Bull Housser's joint representation of the defendants and proposed defendants. The plaintiff is not alleging that his legal interests are affected by Bull Housser's representation of the defendants. He is asserting the defendants' legal interests will be impeded.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accept the submission of the defendants that the plaintiff is not entitled to raise this conflict of interest issue because the alleged conflicts affect the interests of the opposing parties and not his own. The defendants cannot be deprived of counsel of their choice because of the plaintiff's view that Bull Housser's concurrent representation of them creates a conflict of interest. It is not for the plaintiff to argue that Mr. Bennett's representation of the defendants may constitute a conflict. The defendants in that action are quite content with Mr. Bennett's representation of them. That therefore is the end of the matter. Accordingly the order sought must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then to the request for orders adding Mr. Scott and Mr. Wallace as defendants. The plaintiff seeks orders adding these two individuals and to amend the style of cause and pleadings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addition of parties to an action is governed by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the proceeding the Court on application by any person may...:</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 as a party if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Rule 6-2(7)(b) concerns situations where it is practically necessary for a person to be added as a party for the proper determination of the case. I cite in this regard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plaintiff has not alleged a deficiency in the existing proceedings that must be remedied by the addition of Mr. Scott and Mr. Wallace as defendants. Rule 6-2(7)(c) permits the Court to order that a person be added as a defendant where, first, the plaintiff can show an issue or question between the plaintiff and the proposed defendant that relates to a matter at issue in the existing proceeding; and two, the Court believes it would be just and convenient to decide the issue between the parties in the existing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part of the test in Rule 6-2(7)(c) requires the plaintiff to show it has a cause of action against the proposed defendant. While the threshold is low, the applicant must show he or she can plead material facts that establish a viable cause of action against the proposed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Courts have held that an applicant should draft the proposed pleadings against the parties it wishes to add to assist the Court in exercising its discretion under Rule 6-2(7). In the present case the plaintiff has not provided draft pleadings setting out the allegations he proposes to make against Mr. Scott and Mr. Wallace. He relies, however, on his existing pleadings exhibited to his first affidavit dated April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allegations against the proposed defendants in the affidavit may be summarized as follows: first, as past and current chief executive officers of the Board, Mr. Wallace and Mr. Scott are the directing mind and will of the Board; second, Mr. Wallace and Mr. Scott provided "oversight and involvement in maintaining on disclosure of information"; third, Mr. Wallace and Mr. Scott knowingly cultivate, promote and perpetuate a hostile business involvement of non-cooperation and a culture of bias against nonconforming members; fourth, the "generally negative intended purpose and effect" of Mr. Scott and Mr. Wallace are "self-serving, discriminatory and punitive against nonconforming members and primarily achieved through predatory, exclusionary and disciplinary excesses of jurisdiction and/or threw willful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self-regulatory and fiduciary duties and obligations"; and finally, Mr. Wallace and Mr. Scott "ensure that competition is reduced and diminished while the dominant positions of conforming members are entrenched and their market power and pricing standards maintained and entrenched in the relative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assume that the plaintiff wishes to advance the same claims against Mr. Wallace and Mr. Scott that he is advancing against Ms. Starnaman and Mr. Spencer. Those claims are, first, damages pursuant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second, interference with contractual relations; and third, civil conspiracy. The plaintiff has advised that that is, in fact,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argue that even assuming the plaintiff's application materials sufficiently disclose these three causes of action against Mr. Scott and Mr. Wallace, which it says they do not, such claims are not viable. Mr. Bennett argues that, first, the plaintiff's claims against the proposed defendants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must fail because Mr. Scott and Mr. Wallace are not competitors of each other; second, the plaintiff's interference with contractual relations claims against the proposed defendants must fail because the plaintiff cannot allege specific misconduct on the part of Mr. Scott and Mr. Wallace in their personal capacities as opposed to their capacities as employees of the Board; and finally, the plaintiff's civil conspiracy claims as against the proposed defendants must fail because the plaintiff cannot allege distinct unlawful acts committed by Mr. Scott and Mr. Wallace in their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turn first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Section 36 provides: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suffered loss or damage as a result of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that is contrary to any provision of Part VI,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in any court of competent jurisdiction, sue for and recover from the person who engaged in the conduct ... an amount equal to the loss or damage proved to have been suffered by him, together with any additional amount that the court may allow not exceeding the full cost to him of any investigation in connection with the matter and of proceedings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Part 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creates a number of criminal offences in relation to competition. Section 36 creates a civil right of action for any person suffering loss or damage as a result of a breach of one of the criminal provisions of the Act. The plaintiff's notice of civil claim does not specify which provision in part 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 plaintiff is relying on. However, the plaintiff in his argument pointed to s. 45 and, secondarily, s. 52. Section 45 states: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commits an offence who, with a competitor of that person with respect to a product, conspires, agrees or arranges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fix, maintain, increase or control the price for the supply of the product;</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allocate sales, territories, customers or markets for the production or supply of the product;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fix, maintain, control, prevent, lessen or eliminate the production or supply of a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45 applies to a person who conspires, agrees or arranges with a competitor to fix prices or otherwise reduce competition as set out in the provision. Where a plaintiff is unable to allege an agreement between competitors to reduce competition, pleadings will be insufficient to support a civil action based on conduct that is contrary to s. 45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the Court confirmed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s. 45 is "a conspiracy, agreement or arrangement with a competitor to fix, maintain, increase or control the price of a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come to the view that the plaintiff cannot allege on these facts that Mr. Scott and Mr. Wallace are competitors of each other, of Ms. Starnaman, Mr. Spencer or of the Board. Accordingly I must conclude that the plaintiff has no viable claims against them pursuant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I have also reviewed s. 52 which deals with advertising; it has no application to the facts as alleged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turn, then, to the plaintiff's claim of interference with contractual relations. The plaintiff intends to advance interference with contractual relations claims against the proposed new defendants based on the allegations in the notice of civil claim that the Board and its employees "wrongfully interfered with the employment contract that the plaintiff had with One Percent Realty" by unlawfully imposing a six-month advertising review on the plaintiff and his managing broker. The question is whether such claims are viable as against Mr. Wallace and Mr.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a rule, officers and employees of corporations are protected from personal liability unless it can be shown that their actions are themselves tortious or exhibit a separate identity or interest from that of the corporation so as to make the act or conduct plained of their own. I cite here </w:t>
      </w:r>
      <w:r>
        <w:rPr>
          <w:rFonts w:ascii="arial" w:eastAsia="arial" w:hAnsi="arial" w:cs="arial"/>
          <w:i/>
          <w:color w:val="000000"/>
          <w:sz w:val="20"/>
          <w:lang w:val="en-US" w:eastAsia="en-US" w:bidi="ar-SA"/>
        </w:rPr>
        <w:t>ScotiaMcLeod Inc. v. Peoples Jewellers Ltd.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(Ont. C.A.) at p. 720: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decided cases in which employees and officers of companies have been found personally liable for actions ostensibly carried out under a corporate name are fact-specific. In the absence of findings of fraud, deceit, dishonesty or want of authority on the part of employees or officers, they are also rare. Those cases in which the corporate veil has been pierced usually involve transactions where the use of the corporate structure was a sham from the outset or was an afterthought to a deal which had gone sour. There is also a considerable body of case law wherein injured parties to actions for breach of contract have attempted to extend liability to the principals of the company by pleading that the principals were privy to the tort of inducing breach of contract between the company and the plaintiff: See </w:t>
      </w:r>
      <w:r>
        <w:rPr>
          <w:rFonts w:ascii="arial" w:eastAsia="arial" w:hAnsi="arial" w:cs="arial"/>
          <w:i/>
          <w:color w:val="000000"/>
          <w:sz w:val="20"/>
          <w:lang w:val="en-US" w:eastAsia="en-US" w:bidi="ar-SA"/>
        </w:rPr>
        <w:t>Ontario Store Fixtures Inc. v. Mmmuffins Inc.</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(1989), 70 O.R. (2d) 42</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16 A.C.W.S. (3d) 426</w:t>
        </w:r>
      </w:hyperlink>
      <w:r>
        <w:rPr>
          <w:rFonts w:ascii="arial" w:eastAsia="arial" w:hAnsi="arial" w:cs="arial"/>
          <w:color w:val="000000"/>
          <w:sz w:val="20"/>
          <w:lang w:val="en-US" w:eastAsia="en-US" w:bidi="ar-SA"/>
        </w:rPr>
        <w:t xml:space="preserve"> (H.C.J.), and the cases referred to therein. Additionally there have been attempts by injured parties to attach liability to the principals of failed businesses through insolvency litigation. In every case, however, the facts giving rise to personal liability were specifically pleaded. Absent allegations which fit within the categories described above, officers or employees of limited companies are protected from personal liability unless it can be shown that their actions are themselves tortious or exhibit a separate identity or interest from that of the company so as to make the act or conduct complained of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note that the notice of civil claim refers to the Board's exercise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concluded that the plaintiff cannot advance the claim of interference with contractual relations set out in the notice of civil claim against Mr. Scott and Mr. Wallace. That is because he is unable to allege that by imposing the six-month advertising review on the plaintiff, the existing or proposed personal defendants were acting independently from their role as employees or officers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the plaintiff's claims against the proposed defendants appear to be based on the fact that they were the directing minds of the Board at the relevant times. Having failed to allege independent misconduct on the part of Mr. Scott and Mr. Wallace in their personal capacities, the plaintiff's interference with contractual relations claims against them is not viable. I must dismiss this aspect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turn now to the plaintiff's civil conspiracy claims. To the extent the plaintiff intends to seek damages from Mr. Scott and Mr. Wallace for civil conspiracy based on the allegations in the notice of claim, the question is whether there is a sufficient factual basis to do so. At paragraphs 52 to 54 of the notice of civil claim, the plaintiff alleges that the defendants conspired among each other to damage his business. In particular he alleges that the Board, Ms. Starnaman and Mr. Spencer, acting unlawfully:</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concert directed their conduct against the plaintiff including:</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disciplining the plaintiff for advertising that ostensibly offended full commission members where there was no authority for discipline on that basis;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a six month period of weekly advertising reviews upon the plaintiff's managing broker;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a subsequent three month advertising review period on the plaintiff's new managing broker;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harassing the plaintiff in regard to his advertising claims regarding his sales achievements and status as a North Vancouver member;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and fostering an atmosphere of harassment and intimidation of the plaintiff and members of the public.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discipline other members and their brokerages: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interfering with the plaintiff's contractual relations with clients;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disparaging the plaintiff in public;</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communicating false information to potential clients regarding the plaintiff's ability to sell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tort of unlawful means conspiracy is established where the defendant's conduct is unlawful and is directed towards the plaintiff and the defendant should know in the circumstances that injury to the plaintiff is likely to end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Where a plaintiff alleges a conspiracy between a corporation and one or more of its directing minds, the plaintiff must plead "some conduct on the part of those directing minds that is either tortious in itself or exhibits a separate identity or interest from that of the corporation's such as to make the acts or conduct complained of those of the directing minds."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noted by the Ontario Court of Appeal in </w:t>
      </w:r>
      <w:r>
        <w:rPr>
          <w:rFonts w:ascii="arial" w:eastAsia="arial" w:hAnsi="arial" w:cs="arial"/>
          <w:i/>
          <w:color w:val="000000"/>
          <w:sz w:val="20"/>
          <w:lang w:val="en-US" w:eastAsia="en-US" w:bidi="ar-SA"/>
        </w:rPr>
        <w:t>Normart Management Ltd. v. West Hill Redevelopment Co. Ltd.</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(1998), 155 D.L.R. (4th) 627</w:t>
        </w:r>
      </w:hyperlink>
      <w:r>
        <w:rPr>
          <w:rFonts w:ascii="arial" w:eastAsia="arial" w:hAnsi="arial" w:cs="arial"/>
          <w:color w:val="000000"/>
          <w:sz w:val="20"/>
          <w:lang w:val="en-US" w:eastAsia="en-US" w:bidi="ar-SA"/>
        </w:rPr>
        <w:t xml:space="preserve"> (Ont. C.A.)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conclude otherwise would be to challenge the recognized separate legal identity afforded to corporations under our law and to conclude that every corporate action which may give rise to a breach, by virtue of the decision making authority of the corporate management, is an action of the directing minds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concluded that the plaintiff's civil conspiracy claims against the existing defendants, both of whom are officers or employees of the Board, cannot succeed because of the lack of distinct "unlawful acts" committed by those defendants in their personal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plaintiff alleges that Mr. Scott and Mr. Wallace are the "directing mind and will of the Board," and suggests they have participated in or contributed to his discriminatory and unfair treatment by the Board, I have concluded that the civil conspiracy claims against them must fail. That is because Mr. Wallace and Mr. Scott were acting within the scope of their duties as officers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I turn to the request for an order that the defendants produce their list of documents. As noted earlier the notice to proceed was filed December 20, 2014. The parties agreed and filed case plan proposals that lists of documents would be produced "within 120 days of March 16, 2015." On April 15, 2015, the plaintiff filed the within notice of application. The Board respondents in their application response stated that once the appropriate parties to the action had been determined, the defendants were prepared to abridge the time limits agreed upon in the parties' respective case planning proposals and to provide a list of documents within 21 days of the Court's decision in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expectation at the time they filed their response, as I view the correspondence, was that the plaintiff's application to add parties would be determined before the expiry of the time period for producing lists of documents. The plaintiff's notice of application filed April 15, and the defendants' notice of application filed May 5, were originally set to be heard together on May 19. At the plaintiff's request the hearing was adjourned by consent to June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June 2 the plaintiff proposed moving the June 16 hearing to a new date in September or October. The defendants agreed to this proposal subject to the plaintiff's confirmation he would not require the defendants' list of documents in advance of the new hearing date. The plaintiff agreed to proceed on that basis, and the hearing was adjourned by consent to December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have advised that they are prepared to provide their list of documents to the plaintiff within 21 days of the Court's decision in these applications, and in my view that is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turn, then, to the defendants' cross-application. Turning first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as noted above the plaintiff is claiming damages under s. 36 of the Act which creates a civil right of action for any person suffering loss or damage as a result of a breach of one of the criminal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The only criminal provision in that statute potentially engaged here, as noted earlier, is s. 45. As I have noted earlier this applies to conspiracies, agreements or arrangements between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Again as noted earlier, an element of the offence set out in s. 45 is that the agreement or arrangement be between competitors. Where a plaintiff is unable to allege agreement between competitors, pleadings will be insufficient to support a civil claim based on conduct contrary to s.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this case as the plaintiff is unable to plead that the personal defendants are competitors of each other or the Board. Accordingly, the claims pursuant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must be struck pursuant to Rule 9-5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turn, then, to the plaintiff's allegation of interference with contractual relations claims. The plaintiff alleges that the Board and the personal defendants intentionally and wrongfully interfered with the employment of the contract he had with One Percent Realty. As I noted earlier, he claims in particular that the Board and personal defendants acted unlawfully in imposing a six-month advertising review on him and on his broker. Once again, the plaintiff's interference with contractual relations claims against the personal defendants cannot succeed because of the lack of any independent wrongdoing on the part of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does not allege that in imposing the six-month advertising review on the plaintiff the personal defendants were acting independently from their role as employees of the Board. As noted above Ms. Starnaman and Mr. Spencer are respectively the business practices officer and the manager of professional standards of the Board. I cite in support of my conclusion </w:t>
      </w:r>
      <w:r>
        <w:rPr>
          <w:rFonts w:ascii="arial" w:eastAsia="arial" w:hAnsi="arial" w:cs="arial"/>
          <w:i/>
          <w:color w:val="000000"/>
          <w:sz w:val="20"/>
          <w:lang w:val="en-US" w:eastAsia="en-US" w:bidi="ar-SA"/>
        </w:rPr>
        <w:t>Steele v. Riverside Forest Products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Raboch v. Riverside Forest Products</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2005 BCSC 1598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Without specific misconduct on the part of the personal defendants in their personal capacities, the plaintiff's pleadings do not disclose a reasonable cause of action against the personal defendants. These claims must therefore be struck as against the personal defendants pursuant to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with respect to the civil conspiracy claims, the plaintiff's claims of civil conspiracy against the personal defendants also cannot succeed due to the lack of any distinct unlawful acts committed by those parties in their personal capacities. While the plaintiff has alleged that Ms. Starnaman and Mr. Spencer treated him unfairly, the conspiracy claims must fail because they were acting within the scope of their duties as employees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has not pled conduct on the part of the personal defendants that is tortious in itself or exhibits a separate identity or interest from that of the Board. And again I cite </w:t>
      </w:r>
      <w:r>
        <w:rPr>
          <w:rFonts w:ascii="arial" w:eastAsia="arial" w:hAnsi="arial" w:cs="arial"/>
          <w:i/>
          <w:color w:val="000000"/>
          <w:sz w:val="20"/>
          <w:lang w:val="en-US" w:eastAsia="en-US" w:bidi="ar-SA"/>
        </w:rPr>
        <w:t>Normart Management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is not entitled to convert a contractual or tort claim against a corporate defendant into a conspiracy claim against a broader range of parties by asserting that the corporate defendants' directing minds caused the corporate defendant to engage in the conduct at issue. Courts have struck out conspiracy allegations against officers, employees of corporate defendants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conclusion, the plaintiff's application must be dismissed, and the defendants' cross-application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would add this: The plaintiff's real issue is with the Real Estate Board. He may proceed with his claims against the Board but for the reasons stated he cannot proceed against any of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Burgess v. Buell Distribution Corp., [2011] B.C.J. No. 2620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S088168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1831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Allan James Scott Burgess, Plaintiff, and Buell Distribution Corporation, Buell Motorcycle Company, 636221 B.C. Ltd., doing business as Barnes Harley-Davidson/Buell, XYZ Companies, John Doe 1, John Doe 2, John Doe 3, and Harley-Davidson Motor Company Group, LLC and Fred Deeley Imports Ltd., carrying on business as Deeley Harley-Davidson Canada, Defendants, and Harley-Davidson Motor Company Group, LLC, Fred Deeley Imports Ltd., carrying on business as Deeley Harley-Davidson Canada,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Civil litigation — Civil procedure — Discovery — Examination for discovery — Order to attend or re-attend — Range of examination — Relevancy — Application by plaintiff to require defendant to attend examination for discovery and answer specific questions allowed — Plaintiff was injured in single vehicle accident while operating vehicle manufactured by defendant — Plaintiff claimed vehicle was amalgam of motorcycle, sidecar and connecting mechanism and cause of accident was component parts of two-wheeled vehicle — Plaintiff sought to question defendant on component parts — Defendant argued vehicle was three-wheeled so questions pertaining to design, testing and manufacture of two-wheeled vehicles were irrelevant — Experts disagreed on causes of accident, and characteristics of vehicle were matter for trial, so questions not clearly irrelevant.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Suppliers of goods — Product liability — Duty to warn (product labeling) — Duty to test — Manufacturers — Application by plaintiff to require defendant to attend examination for discovery and answer specific questions allowed — Plaintiff was injured in single vehicle accident while operating vehicle manufactured by defendant — Plaintiff claimed vehicle was amalgam of motorcycle, sidecar and connecting mechanism and cause of accident was component parts of two-wheeled vehicle — Plaintiff sought to question defendant on component parts — Defendant argued vehicle was three-wheeled so questions pertaining to design, testing and manufacture of two-wheeled vehicles were irrelevant — Experts disagreed on causes of accident, and characteristics of vehicle were matter for trial, so questions not clearly irrelevant.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an order requiring the defendant to send a representative to attend examination for discovery and answer specific questions. The action arose from a single vehicle accident. The plaintiff was operating a vehicle manufactured by the defendant. The plaintiff claimed the vehicle was an amalgam of a motorcycle, sidecar and connecting mechanism; the defendant characterized it as a three-wheeled vehicle, with handling characteristics not shared by two-wheel vehicles. The plaintiff claimed the vehicle became wobbly and unstable, causing the accident. The plaintiff alleged the defendant was negligent in the design, manufacture and testing of the vehicle and in failing to warn or recall the product. The plaintiff sought to question the defendant's representative on the component parts of two-wheeled vehicles. The plaintiff's questions pertained to design standards for motorcycles, whether wobble or weave affected handling, whether wobble testing was done, whether oscillation of steering assembly occurred at speeds over 50 mph and whether this oscillation had been identified. The defendant argued the vehicle in question was not a two-wheeled vehicle, so these questions were irrelevant.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2"/>
            <w:bookmarkEnd w:id="2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on similarity between two-wheeled vehicles and the vehicle in question was a matter for trial. The experts disagreed on the causes of the accident, and whether they rested exclusively in the characteristics of the vehicle as three-wheeled, or whether the cause was the component parts of the two-wheeled vehicle. As such, the questions were not clearly irrelevant.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7"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7-2(18)(a)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Harley-Davidson Motor Company Group, LLC: M. Adlem.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9"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A.F. CULLEN J. (orally)"/>
            <w:bookmarkEnd w:id="33"/>
            <w:r>
              <w:rPr>
                <w:rFonts w:ascii="arial" w:eastAsia="arial" w:hAnsi="arial" w:cs="arial"/>
                <w:b/>
                <w:color w:val="000000"/>
                <w:sz w:val="30"/>
                <w:lang w:val="en-US" w:eastAsia="en-US" w:bidi="ar-SA"/>
              </w:rPr>
              <w:t>A.F. CULLEN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the following relief:</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HARLEY-DAVIDSON MOTOR COMPANY GROUP, LLC ("HDMC"), through its representative Lance Onan, will submit to an examination for discovery at the offices of Coast Reporting 1101 - 808 Nelson Street, Vancouver, B.C. at 10:00 a.m. on Tuesday, November 29, 2011 or such other time and date as may be convenient for Mr. Onan and counsel for the Plaintiff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 the questions attached as Schedule "A" and to answer any questions arising from those questions,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continue the examination for discovery which was adjourned on November 15, 2011.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examination which is the subject of this order must not exceed 7 hours in duration, excluding the length of the examination Mr. Onan which took place on November 15, 2011, or any period to which the Defendant HDMC consents, subject to any further court order.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and incidental to the attendance of Mr. Onan at the examination for discovery which is the subject of this order, and the costs of and incidental to this motion, are payable by the Defendant HDMC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 single vehicle accident on Highway 99 in Delta. The vehicle was a motorcycle with a sidecar. The plaintiff was the operator and sole rider of the vehicle. The defendant is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arises out of conceptual differences between the plaintiff and the defendant as to the vehicle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From the plaintiff's perspective, the vehicle is an amalgam of a motorcycle, a sidecar, and a mechanism connecting the two, including a hydraulic steering damper designed to alleviate problems arising from wobbling when the vehicle was in coast down mode and the driver's hands off the handlebars.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the defendant's perspective, the vehicle is a discrete three-wheeled vehicle with handling characteristics not shared by a two-wheeled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notice of claim as amended implicates all three of the component parts of the motorcycle's sidecar vehicle as causative of the accident asserting, in part, as follows: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material times the Defendants HDMC were in the business of designing, manufacturing and selling motorcycles, motorcycle parts and accessories ("HDMC Products"), for distribution and sale to consumers such as the Plaintiff through their authorized dealers in Canada, including British Columbia, the U.S.A. and other countries.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material times the Defendants HDMC and</w:t>
      </w:r>
      <w:r>
        <w:rPr>
          <w:rFonts w:ascii="arial" w:eastAsia="arial" w:hAnsi="arial" w:cs="arial"/>
          <w:color w:val="000000"/>
          <w:sz w:val="20"/>
          <w:lang w:val="en-US" w:eastAsia="en-US" w:bidi="ar-SA"/>
        </w:rPr>
        <w:t xml:space="preserve"> XYZ COMPANIES and each of them, designed, engineered and manufactured </w:t>
      </w:r>
      <w:r>
        <w:rPr>
          <w:rFonts w:ascii="arial" w:eastAsia="arial" w:hAnsi="arial" w:cs="arial"/>
          <w:color w:val="000000"/>
          <w:sz w:val="20"/>
          <w:u w:val="single"/>
          <w:lang w:val="en-US" w:eastAsia="en-US" w:bidi="ar-SA"/>
        </w:rPr>
        <w:t>the, following HDMC Products: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Harley-Davidson Touring</w:t>
      </w:r>
      <w:r>
        <w:rPr>
          <w:rFonts w:ascii="arial" w:eastAsia="arial" w:hAnsi="arial" w:cs="arial"/>
          <w:color w:val="000000"/>
          <w:sz w:val="20"/>
          <w:lang w:val="en-US" w:eastAsia="en-US" w:bidi="ar-SA"/>
        </w:rPr>
        <w:t xml:space="preserve"> motorcycle </w:t>
      </w:r>
      <w:r>
        <w:rPr>
          <w:rFonts w:ascii="arial" w:eastAsia="arial" w:hAnsi="arial" w:cs="arial"/>
          <w:color w:val="000000"/>
          <w:sz w:val="20"/>
          <w:u w:val="single"/>
          <w:lang w:val="en-US" w:eastAsia="en-US" w:bidi="ar-SA"/>
        </w:rPr>
        <w:t>in the 2004 model year</w:t>
      </w:r>
      <w:r>
        <w:rPr>
          <w:rFonts w:ascii="arial" w:eastAsia="arial" w:hAnsi="arial" w:cs="arial"/>
          <w:color w:val="000000"/>
          <w:sz w:val="20"/>
          <w:lang w:val="en-US" w:eastAsia="en-US" w:bidi="ar-SA"/>
        </w:rPr>
        <w:t>, serial number 5HD1FCW164Y618622, (the "Motorcycle");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motorcycle sidecar, serial number 1HD8SKX104T010151 (the "Sidecar")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sidecar attachment kit to be used to install the Sidecar on the Motorcycle (the "Sidecar Kit")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hydraulic steering damper which was part of the Sidecar Kit or, in the alternative, sold separately as part of a steering damper kit (the "Steering damper")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Motorcycle, Sidecar, Sidecar Kit and Steering Damper will be referred to collectively as "the Products"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March 2004, the Defendants DEELEY and BARNES HARLEY, or either of them, set up the Motorcycle and the Defendant BARNES HARLEY installed the Sidecar on the Motorcycle using the Sidecar Kit and Steering Damper (the "Assembled Motorcycle")</w:t>
      </w:r>
    </w:p>
    <w:p>
      <w:pPr>
        <w:numPr>
          <w:numId w:val="8"/>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the 15th day of May 2007 on Highway #99, in the southbound lane south of Highway #17, Delta, British Columbia the Plaintiff was operating the </w:t>
      </w:r>
      <w:r>
        <w:rPr>
          <w:rFonts w:ascii="arial" w:eastAsia="arial" w:hAnsi="arial" w:cs="arial"/>
          <w:color w:val="000000"/>
          <w:sz w:val="20"/>
          <w:u w:val="single"/>
          <w:lang w:val="en-US" w:eastAsia="en-US" w:bidi="ar-SA"/>
        </w:rPr>
        <w:t>Assembled</w:t>
      </w:r>
      <w:r>
        <w:rPr>
          <w:rFonts w:ascii="arial" w:eastAsia="arial" w:hAnsi="arial" w:cs="arial"/>
          <w:color w:val="000000"/>
          <w:sz w:val="20"/>
          <w:lang w:val="en-US" w:eastAsia="en-US" w:bidi="ar-SA"/>
        </w:rPr>
        <w:t xml:space="preserve"> motorcycle </w:t>
      </w:r>
      <w:r>
        <w:rPr>
          <w:rFonts w:ascii="arial" w:eastAsia="arial" w:hAnsi="arial" w:cs="arial"/>
          <w:color w:val="000000"/>
          <w:sz w:val="20"/>
          <w:u w:val="single"/>
          <w:lang w:val="en-US" w:eastAsia="en-US" w:bidi="ar-SA"/>
        </w:rPr>
        <w:t>at a highway speed</w:t>
      </w:r>
      <w:r>
        <w:rPr>
          <w:rFonts w:ascii="arial" w:eastAsia="arial" w:hAnsi="arial" w:cs="arial"/>
          <w:color w:val="000000"/>
          <w:sz w:val="20"/>
          <w:lang w:val="en-US" w:eastAsia="en-US" w:bidi="ar-SA"/>
        </w:rPr>
        <w:t xml:space="preserve">, [which had been designed, engineered and manufactured by the Defendants, HARLEY DAVIDSON MOTOR COMPANY GROUP, LLC, BUELL DISTRIBUTION CORPORATION, AND BUELL MOTORCYCLE COMPANY, XYZ COMPANIES and each of them, and distributed, serviced and maintained in Canada by the Defendant, BARNES HARLEY] when </w:t>
      </w:r>
      <w:r>
        <w:rPr>
          <w:rFonts w:ascii="arial" w:eastAsia="arial" w:hAnsi="arial" w:cs="arial"/>
          <w:color w:val="000000"/>
          <w:sz w:val="20"/>
          <w:u w:val="single"/>
          <w:lang w:val="en-US" w:eastAsia="en-US" w:bidi="ar-SA"/>
        </w:rPr>
        <w:t>the Assembled Motorcycle and/or Products malfunctioned causing the Assembled Motorcycle to begin</w:t>
      </w:r>
      <w:r>
        <w:rPr>
          <w:rFonts w:ascii="arial" w:eastAsia="arial" w:hAnsi="arial" w:cs="arial"/>
          <w:color w:val="000000"/>
          <w:sz w:val="20"/>
          <w:lang w:val="en-US" w:eastAsia="en-US" w:bidi="ar-SA"/>
        </w:rPr>
        <w:t xml:space="preserve"> [it began] vibrating and shaking, </w:t>
      </w:r>
      <w:r>
        <w:rPr>
          <w:rFonts w:ascii="arial" w:eastAsia="arial" w:hAnsi="arial" w:cs="arial"/>
          <w:color w:val="000000"/>
          <w:sz w:val="20"/>
          <w:u w:val="single"/>
          <w:lang w:val="en-US" w:eastAsia="en-US" w:bidi="ar-SA"/>
        </w:rPr>
        <w:t>and unsafely performing with wobble and/or weave instability</w:t>
      </w:r>
      <w:r>
        <w:rPr>
          <w:rFonts w:ascii="arial" w:eastAsia="arial" w:hAnsi="arial" w:cs="arial"/>
          <w:color w:val="000000"/>
          <w:sz w:val="20"/>
          <w:lang w:val="en-US" w:eastAsia="en-US" w:bidi="ar-SA"/>
        </w:rPr>
        <w:t xml:space="preserve"> causing the Plaintiff to lose control </w:t>
      </w:r>
      <w:r>
        <w:rPr>
          <w:rFonts w:ascii="arial" w:eastAsia="arial" w:hAnsi="arial" w:cs="arial"/>
          <w:color w:val="000000"/>
          <w:sz w:val="20"/>
          <w:u w:val="single"/>
          <w:lang w:val="en-US" w:eastAsia="en-US" w:bidi="ar-SA"/>
        </w:rPr>
        <w:t>of the handling of the Assembled Motorcycle</w:t>
      </w:r>
      <w:r>
        <w:rPr>
          <w:rFonts w:ascii="arial" w:eastAsia="arial" w:hAnsi="arial" w:cs="arial"/>
          <w:color w:val="000000"/>
          <w:sz w:val="20"/>
          <w:lang w:val="en-US" w:eastAsia="en-US" w:bidi="ar-SA"/>
        </w:rPr>
        <w:t xml:space="preserve">, and causing the </w:t>
      </w:r>
      <w:r>
        <w:rPr>
          <w:rFonts w:ascii="arial" w:eastAsia="arial" w:hAnsi="arial" w:cs="arial"/>
          <w:color w:val="000000"/>
          <w:sz w:val="20"/>
          <w:u w:val="single"/>
          <w:lang w:val="en-US" w:eastAsia="en-US" w:bidi="ar-SA"/>
        </w:rPr>
        <w:t>Assembled</w:t>
      </w:r>
      <w:r>
        <w:rPr>
          <w:rFonts w:ascii="arial" w:eastAsia="arial" w:hAnsi="arial" w:cs="arial"/>
          <w:color w:val="000000"/>
          <w:sz w:val="20"/>
          <w:lang w:val="en-US" w:eastAsia="en-US" w:bidi="ar-SA"/>
        </w:rPr>
        <w:t xml:space="preserve"> Motorcycle to collide with the centre median (hereinafter referred to as the "Accident"). </w:t>
      </w:r>
      <w:r>
        <w:rPr>
          <w:rFonts w:ascii="arial" w:eastAsia="arial" w:hAnsi="arial" w:cs="arial"/>
          <w:color w:val="000000"/>
          <w:sz w:val="18"/>
          <w:lang w:val="en-US" w:eastAsia="en-US" w:bidi="ar-SA"/>
        </w:rPr>
        <w:t>[Editor's note: Text in brackets is struck out in the original.]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Defendants, and each of them, knew, or ought to have known, that under reasonably foreseeable use there was a risk that the following products could develop wobble and/or weave instability, or loss of stability or steering control, creating a risk or danger of serious injury or death to users such as the Plaintiff: </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FLHTCUI model and related models in the "touring motorcycle" class or product line designed or manufactured by HDMC including, but not limited to, those equipped with sidecars installed on motorcycles during or after manufacture;</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motorcycles equipped with sidecars in the model line of the Sidecar or in model lines or classes similar to the Sidecar;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motorcycles equipped with sidecars installed using the Sidecar Kit product line or similar product lines;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motorcycles and/or sidecars equipped with steering dampers in the model line of the Steering Damper or similar steering damper model lines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and each of them, owed the Plaintiff a duty of reasonable care, </w:t>
      </w:r>
      <w:r>
        <w:rPr>
          <w:rFonts w:ascii="arial" w:eastAsia="arial" w:hAnsi="arial" w:cs="arial"/>
          <w:color w:val="000000"/>
          <w:sz w:val="20"/>
          <w:u w:val="single"/>
          <w:lang w:val="en-US" w:eastAsia="en-US" w:bidi="ar-SA"/>
        </w:rPr>
        <w:t>including a duty to warn the Plaintiff about dangers involved in the use or operation of the Assembled Motorcycle and the Products when the Defendants knew, or ought to have known, of those dangers.</w:t>
      </w:r>
    </w:p>
    <w:p>
      <w:pPr>
        <w:numPr>
          <w:numId w:val="15"/>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Products and the Assembled Motorcycle</w:t>
      </w:r>
      <w:r>
        <w:rPr>
          <w:rFonts w:ascii="arial" w:eastAsia="arial" w:hAnsi="arial" w:cs="arial"/>
          <w:color w:val="000000"/>
          <w:sz w:val="20"/>
          <w:lang w:val="en-US" w:eastAsia="en-US" w:bidi="ar-SA"/>
        </w:rPr>
        <w:t xml:space="preserve"> [product] at the time they [it] left the hands of the Defendants, and each of them, [was] </w:t>
      </w:r>
      <w:r>
        <w:rPr>
          <w:rFonts w:ascii="arial" w:eastAsia="arial" w:hAnsi="arial" w:cs="arial"/>
          <w:color w:val="000000"/>
          <w:sz w:val="20"/>
          <w:u w:val="single"/>
          <w:lang w:val="en-US" w:eastAsia="en-US" w:bidi="ar-SA"/>
        </w:rPr>
        <w:t>were</w:t>
      </w:r>
      <w:r>
        <w:rPr>
          <w:rFonts w:ascii="arial" w:eastAsia="arial" w:hAnsi="arial" w:cs="arial"/>
          <w:color w:val="000000"/>
          <w:sz w:val="20"/>
          <w:lang w:val="en-US" w:eastAsia="en-US" w:bidi="ar-SA"/>
        </w:rPr>
        <w:t xml:space="preserve"> defective and unreasonably dangerous for [its]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intended use and at all material times the Defendants, and each of them, knew or ought to have known that persons who utilized the </w:t>
      </w:r>
      <w:r>
        <w:rPr>
          <w:rFonts w:ascii="arial" w:eastAsia="arial" w:hAnsi="arial" w:cs="arial"/>
          <w:color w:val="000000"/>
          <w:sz w:val="20"/>
          <w:u w:val="single"/>
          <w:lang w:val="en-US" w:eastAsia="en-US" w:bidi="ar-SA"/>
        </w:rPr>
        <w:t>Products</w:t>
      </w:r>
      <w:r>
        <w:rPr>
          <w:rFonts w:ascii="arial" w:eastAsia="arial" w:hAnsi="arial" w:cs="arial"/>
          <w:color w:val="000000"/>
          <w:sz w:val="20"/>
          <w:lang w:val="en-US" w:eastAsia="en-US" w:bidi="ar-SA"/>
        </w:rPr>
        <w:t xml:space="preserve"> [produce] were exposed to an unacceptable risk [due to the motorcycle's propensity to] </w:t>
      </w:r>
      <w:r>
        <w:rPr>
          <w:rFonts w:ascii="arial" w:eastAsia="arial" w:hAnsi="arial" w:cs="arial"/>
          <w:color w:val="000000"/>
          <w:sz w:val="20"/>
          <w:u w:val="single"/>
          <w:lang w:val="en-US" w:eastAsia="en-US" w:bidi="ar-SA"/>
        </w:rPr>
        <w:t>of danger that the defects could</w:t>
      </w:r>
      <w:r>
        <w:rPr>
          <w:rFonts w:ascii="arial" w:eastAsia="arial" w:hAnsi="arial" w:cs="arial"/>
          <w:color w:val="000000"/>
          <w:sz w:val="20"/>
          <w:lang w:val="en-US" w:eastAsia="en-US" w:bidi="ar-SA"/>
        </w:rPr>
        <w:t xml:space="preserve"> impair or interfere with the drivers' ability to maintain control of the </w:t>
      </w:r>
      <w:r>
        <w:rPr>
          <w:rFonts w:ascii="arial" w:eastAsia="arial" w:hAnsi="arial" w:cs="arial"/>
          <w:color w:val="000000"/>
          <w:sz w:val="20"/>
          <w:u w:val="single"/>
          <w:lang w:val="en-US" w:eastAsia="en-US" w:bidi="ar-SA"/>
        </w:rPr>
        <w:t>Assembled Motorcycle.</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16"/>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the said knowledge by the Defendants, and each of them, of the defect in the </w:t>
      </w:r>
      <w:r>
        <w:rPr>
          <w:rFonts w:ascii="arial" w:eastAsia="arial" w:hAnsi="arial" w:cs="arial"/>
          <w:color w:val="000000"/>
          <w:sz w:val="20"/>
          <w:u w:val="single"/>
          <w:lang w:val="en-US" w:eastAsia="en-US" w:bidi="ar-SA"/>
        </w:rPr>
        <w:t>Products and the Assembled Motorcycle</w:t>
      </w:r>
      <w:r>
        <w:rPr>
          <w:rFonts w:ascii="arial" w:eastAsia="arial" w:hAnsi="arial" w:cs="arial"/>
          <w:color w:val="000000"/>
          <w:sz w:val="20"/>
          <w:lang w:val="en-US" w:eastAsia="en-US" w:bidi="ar-SA"/>
        </w:rPr>
        <w:t xml:space="preserve"> [product], the Defendants, and each of them, continued to promote, advertise and sell the </w:t>
      </w:r>
      <w:r>
        <w:rPr>
          <w:rFonts w:ascii="arial" w:eastAsia="arial" w:hAnsi="arial" w:cs="arial"/>
          <w:color w:val="000000"/>
          <w:sz w:val="20"/>
          <w:u w:val="single"/>
          <w:lang w:val="en-US" w:eastAsia="en-US" w:bidi="ar-SA"/>
        </w:rPr>
        <w:t>Products and the Assembled Motorcycle</w:t>
      </w:r>
      <w:r>
        <w:rPr>
          <w:rFonts w:ascii="arial" w:eastAsia="arial" w:hAnsi="arial" w:cs="arial"/>
          <w:color w:val="000000"/>
          <w:sz w:val="20"/>
          <w:lang w:val="en-US" w:eastAsia="en-US" w:bidi="ar-SA"/>
        </w:rPr>
        <w:t xml:space="preserve"> [product] to the consuming public without warning owners and users of [the product's defective and unreasonably dangerous characteristics and] their substantial exposure to serious harm </w:t>
      </w:r>
      <w:r>
        <w:rPr>
          <w:rFonts w:ascii="arial" w:eastAsia="arial" w:hAnsi="arial" w:cs="arial"/>
          <w:color w:val="000000"/>
          <w:sz w:val="20"/>
          <w:u w:val="single"/>
          <w:lang w:val="en-US" w:eastAsia="en-US" w:bidi="ar-SA"/>
        </w:rPr>
        <w:t>caused by the dangers in the use of the Products and the Assembled Motorcycle</w:t>
      </w:r>
      <w:r>
        <w:rPr>
          <w:rFonts w:ascii="arial" w:eastAsia="arial" w:hAnsi="arial" w:cs="arial"/>
          <w:color w:val="000000"/>
          <w:sz w:val="20"/>
          <w:lang w:val="en-US" w:eastAsia="en-US" w:bidi="ar-SA"/>
        </w:rPr>
        <w:t xml:space="preserve">, without recalling the </w:t>
      </w:r>
      <w:r>
        <w:rPr>
          <w:rFonts w:ascii="arial" w:eastAsia="arial" w:hAnsi="arial" w:cs="arial"/>
          <w:color w:val="000000"/>
          <w:sz w:val="20"/>
          <w:u w:val="single"/>
          <w:lang w:val="en-US" w:eastAsia="en-US" w:bidi="ar-SA"/>
        </w:rPr>
        <w:t>Products and the Assembled Motorcycle</w:t>
      </w:r>
      <w:r>
        <w:rPr>
          <w:rFonts w:ascii="arial" w:eastAsia="arial" w:hAnsi="arial" w:cs="arial"/>
          <w:color w:val="000000"/>
          <w:sz w:val="20"/>
          <w:lang w:val="en-US" w:eastAsia="en-US" w:bidi="ar-SA"/>
        </w:rPr>
        <w:t xml:space="preserve"> [product] for modification to alleviate the defective qualities, and without adequately instructing owners and users of the </w:t>
      </w:r>
      <w:r>
        <w:rPr>
          <w:rFonts w:ascii="arial" w:eastAsia="arial" w:hAnsi="arial" w:cs="arial"/>
          <w:color w:val="000000"/>
          <w:sz w:val="20"/>
          <w:u w:val="single"/>
          <w:lang w:val="en-US" w:eastAsia="en-US" w:bidi="ar-SA"/>
        </w:rPr>
        <w:t>Products and the Assembled Motorcycle</w:t>
      </w:r>
      <w:r>
        <w:rPr>
          <w:rFonts w:ascii="arial" w:eastAsia="arial" w:hAnsi="arial" w:cs="arial"/>
          <w:color w:val="000000"/>
          <w:sz w:val="20"/>
          <w:lang w:val="en-US" w:eastAsia="en-US" w:bidi="ar-SA"/>
        </w:rPr>
        <w:t xml:space="preserve"> [product] concerning possible precautions and safety measures which were peculiarly within the knowledge of the Defendants, and each of them. </w:t>
      </w:r>
      <w:r>
        <w:rPr>
          <w:rFonts w:ascii="arial" w:eastAsia="arial" w:hAnsi="arial" w:cs="arial"/>
          <w:color w:val="000000"/>
          <w:sz w:val="18"/>
          <w:lang w:val="en-US" w:eastAsia="en-US" w:bidi="ar-SA"/>
        </w:rPr>
        <w:t>[Editor's note: Text in brackets is struck out in the original.]</w:t>
      </w:r>
    </w:p>
    <w:p>
      <w:pPr>
        <w:numPr>
          <w:numId w:val="17"/>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said Accident was caused </w:t>
      </w:r>
      <w:r>
        <w:rPr>
          <w:rFonts w:ascii="arial" w:eastAsia="arial" w:hAnsi="arial" w:cs="arial"/>
          <w:color w:val="000000"/>
          <w:sz w:val="20"/>
          <w:u w:val="single"/>
          <w:lang w:val="en-US" w:eastAsia="en-US" w:bidi="ar-SA"/>
        </w:rPr>
        <w:t>or contributed to</w:t>
      </w:r>
      <w:r>
        <w:rPr>
          <w:rFonts w:ascii="arial" w:eastAsia="arial" w:hAnsi="arial" w:cs="arial"/>
          <w:color w:val="000000"/>
          <w:sz w:val="20"/>
          <w:lang w:val="en-US" w:eastAsia="en-US" w:bidi="ar-SA"/>
        </w:rPr>
        <w:t xml:space="preserve"> [solely and entirely]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the Defendants </w:t>
      </w:r>
      <w:r>
        <w:rPr>
          <w:rFonts w:ascii="arial" w:eastAsia="arial" w:hAnsi="arial" w:cs="arial"/>
          <w:color w:val="000000"/>
          <w:sz w:val="20"/>
          <w:u w:val="single"/>
          <w:lang w:val="en-US" w:eastAsia="en-US" w:bidi="ar-SA"/>
        </w:rPr>
        <w:t>HDMC and XYZ COMPANIES</w:t>
      </w:r>
      <w:r>
        <w:rPr>
          <w:rFonts w:ascii="arial" w:eastAsia="arial" w:hAnsi="arial" w:cs="arial"/>
          <w:color w:val="000000"/>
          <w:sz w:val="20"/>
          <w:lang w:val="en-US" w:eastAsia="en-US" w:bidi="ar-SA"/>
        </w:rPr>
        <w:t xml:space="preserve">, and each of them, the particulars of which include: </w:t>
      </w:r>
      <w:r>
        <w:rPr>
          <w:rFonts w:ascii="arial" w:eastAsia="arial" w:hAnsi="arial" w:cs="arial"/>
          <w:color w:val="000000"/>
          <w:sz w:val="18"/>
          <w:lang w:val="en-US" w:eastAsia="en-US" w:bidi="ar-SA"/>
        </w:rPr>
        <w:t>[Editor's note: Text in brackets is struck out in the original.]</w:t>
      </w:r>
    </w:p>
    <w:p>
      <w:pPr>
        <w:numPr>
          <w:numId w:val="18"/>
        </w:numPr>
        <w:tabs>
          <w:tab w:val="clear" w:pos="1120"/>
          <w:tab w:val="num" w:pos="1840"/>
        </w:tabs>
        <w:spacing w:before="120" w:line="24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take reasonable care to design and manufacture the Products [designing and manufacturing a motorcycle] so that [would impair or interfere with] the driver's ability to maintain control of the Assembled Motorcycle would not be impaired or interfered with [thereby causing the driver to lose control]; </w:t>
      </w:r>
      <w:r>
        <w:rPr>
          <w:rFonts w:ascii="arial" w:eastAsia="arial" w:hAnsi="arial" w:cs="arial"/>
          <w:color w:val="000000"/>
          <w:sz w:val="18"/>
          <w:lang w:val="en-US" w:eastAsia="en-US" w:bidi="ar-SA"/>
        </w:rPr>
        <w:t>[Editor's note: Text in brackets is struck out in the original.]</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adequately, or at all, warn the Plaintiff, or other members of the public, that the said </w:t>
      </w:r>
      <w:r>
        <w:rPr>
          <w:rFonts w:ascii="arial" w:eastAsia="arial" w:hAnsi="arial" w:cs="arial"/>
          <w:color w:val="000000"/>
          <w:sz w:val="20"/>
          <w:u w:val="single"/>
          <w:lang w:val="en-US" w:eastAsia="en-US" w:bidi="ar-SA"/>
        </w:rPr>
        <w:t>Assembled</w:t>
      </w:r>
      <w:r>
        <w:rPr>
          <w:rFonts w:ascii="arial" w:eastAsia="arial" w:hAnsi="arial" w:cs="arial"/>
          <w:color w:val="000000"/>
          <w:sz w:val="20"/>
          <w:lang w:val="en-US" w:eastAsia="en-US" w:bidi="ar-SA"/>
        </w:rPr>
        <w:t xml:space="preserve"> Motorcycle could impair or interfere with the driver's ability to maintain control </w:t>
      </w:r>
      <w:r>
        <w:rPr>
          <w:rFonts w:ascii="arial" w:eastAsia="arial" w:hAnsi="arial" w:cs="arial"/>
          <w:color w:val="000000"/>
          <w:sz w:val="20"/>
          <w:u w:val="single"/>
          <w:lang w:val="en-US" w:eastAsia="en-US" w:bidi="ar-SA"/>
        </w:rPr>
        <w:t>of the handling of the Assembled Motorcycle</w:t>
      </w:r>
      <w:r>
        <w:rPr>
          <w:rFonts w:ascii="arial" w:eastAsia="arial" w:hAnsi="arial" w:cs="arial"/>
          <w:color w:val="000000"/>
          <w:sz w:val="20"/>
          <w:lang w:val="en-US" w:eastAsia="en-US" w:bidi="ar-SA"/>
        </w:rPr>
        <w:t xml:space="preserve"> thereby causing the driver to lose control;</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designing, engineering and manufacturing a defective product, </w:t>
      </w:r>
      <w:r>
        <w:rPr>
          <w:rFonts w:ascii="arial" w:eastAsia="arial" w:hAnsi="arial" w:cs="arial"/>
          <w:color w:val="000000"/>
          <w:sz w:val="20"/>
          <w:u w:val="single"/>
          <w:lang w:val="en-US" w:eastAsia="en-US" w:bidi="ar-SA"/>
        </w:rPr>
        <w:t>in particular the Products and the Assembled Motorcycle</w:t>
      </w:r>
      <w:r>
        <w:rPr>
          <w:rFonts w:ascii="arial" w:eastAsia="arial" w:hAnsi="arial" w:cs="arial"/>
          <w:color w:val="000000"/>
          <w:sz w:val="20"/>
          <w:lang w:val="en-US" w:eastAsia="en-US" w:bidi="ar-SA"/>
        </w:rPr>
        <w:t xml:space="preserve"> not fit for its intended purpose and not fit for its intended use;</w:t>
      </w:r>
    </w:p>
    <w:p>
      <w:pPr>
        <w:numPr>
          <w:numId w:val="18"/>
        </w:numPr>
        <w:tabs>
          <w:tab w:val="clear" w:pos="1120"/>
          <w:tab w:val="num" w:pos="1840"/>
        </w:tabs>
        <w:spacing w:before="120" w:line="24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instruct the said Plaintiff or other members of the public on how to safely ensure the </w:t>
      </w:r>
      <w:r>
        <w:rPr>
          <w:rFonts w:ascii="arial" w:eastAsia="arial" w:hAnsi="arial" w:cs="arial"/>
          <w:color w:val="000000"/>
          <w:sz w:val="20"/>
          <w:u w:val="single"/>
          <w:lang w:val="en-US" w:eastAsia="en-US" w:bidi="ar-SA"/>
        </w:rPr>
        <w:t>Assembled Motorcycle and the Products</w:t>
      </w:r>
      <w:r>
        <w:rPr>
          <w:rFonts w:ascii="arial" w:eastAsia="arial" w:hAnsi="arial" w:cs="arial"/>
          <w:color w:val="000000"/>
          <w:sz w:val="20"/>
          <w:lang w:val="en-US" w:eastAsia="en-US" w:bidi="ar-SA"/>
        </w:rPr>
        <w:t xml:space="preserve"> [motorcycle] would not impair or interfere with the driver's ability to maintain control; </w:t>
      </w:r>
      <w:r>
        <w:rPr>
          <w:rFonts w:ascii="arial" w:eastAsia="arial" w:hAnsi="arial" w:cs="arial"/>
          <w:color w:val="000000"/>
          <w:sz w:val="18"/>
          <w:lang w:val="en-US" w:eastAsia="en-US" w:bidi="ar-SA"/>
        </w:rPr>
        <w:t>[Editor's note: Text in brackets is struck out in the original.]</w:t>
      </w:r>
    </w:p>
    <w:p>
      <w:pPr>
        <w:numPr>
          <w:numId w:val="18"/>
        </w:numPr>
        <w:tabs>
          <w:tab w:val="clear" w:pos="1120"/>
          <w:tab w:val="num" w:pos="1840"/>
        </w:tabs>
        <w:spacing w:before="120" w:line="24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recall the defective </w:t>
      </w:r>
      <w:r>
        <w:rPr>
          <w:rFonts w:ascii="arial" w:eastAsia="arial" w:hAnsi="arial" w:cs="arial"/>
          <w:color w:val="000000"/>
          <w:sz w:val="20"/>
          <w:u w:val="single"/>
          <w:lang w:val="en-US" w:eastAsia="en-US" w:bidi="ar-SA"/>
        </w:rPr>
        <w:t>Products</w:t>
      </w:r>
      <w:r>
        <w:rPr>
          <w:rFonts w:ascii="arial" w:eastAsia="arial" w:hAnsi="arial" w:cs="arial"/>
          <w:color w:val="000000"/>
          <w:sz w:val="20"/>
          <w:lang w:val="en-US" w:eastAsia="en-US" w:bidi="ar-SA"/>
        </w:rPr>
        <w:t xml:space="preserve"> [product] for modification to alleviate the defective qualities; </w:t>
      </w:r>
      <w:r>
        <w:rPr>
          <w:rFonts w:ascii="arial" w:eastAsia="arial" w:hAnsi="arial" w:cs="arial"/>
          <w:color w:val="000000"/>
          <w:sz w:val="18"/>
          <w:lang w:val="en-US" w:eastAsia="en-US" w:bidi="ar-SA"/>
        </w:rPr>
        <w:t>[Editor's note: Text in brackets is struck out in the original.]</w:t>
      </w:r>
    </w:p>
    <w:p>
      <w:pPr>
        <w:numPr>
          <w:numId w:val="19"/>
        </w:numPr>
        <w:tabs>
          <w:tab w:val="clear" w:pos="1480"/>
          <w:tab w:val="num" w:pos="1840"/>
        </w:tabs>
        <w:spacing w:before="120" w:line="24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improperly maintaining and servicing the Motorcycle, including providing substandard goods and services]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conduct reasonably sufficient testing and inspection of the Products including testing during and after the design of the Products and, in particular, testing and inspection for wobble and/or weave instability including testing without a steering damper;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failing to respond appropriately to testing and inspection results by making design changes of the following products separately, or in combination,: </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HDMC Products, including the Sidecar, Sidecar Kit, and Steering Damper, designed and manufactured for installation on, or use with, the FLHTCUI model and related models in the "touring motorcycle" class or product line including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adopt, or in the alternative to adhere to, a reasonable system for collecting, assessing and responding to information or complaints made prior to the Accident of incidents of wobble and/or weave instability, or loss of stability, handling or steering control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FLHTCUI model and related models in the "touring motorcycle" class or product line designed or manufactured by HDMC including those equipped with sidecars installed on motorcycles during or after manufacture; and</w:t>
      </w:r>
      <w:r>
        <w:rPr>
          <w:rFonts w:ascii="arial" w:eastAsia="arial" w:hAnsi="arial" w:cs="arial"/>
          <w:color w:val="000000"/>
          <w:sz w:val="20"/>
          <w:lang w:val="en-US" w:eastAsia="en-US" w:bidi="ar-SA"/>
        </w:rPr>
        <w: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motorcycles equipped with sidecars in the model line of the Sidecar or in model lines or classes related to the Sidecar.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motorcycles and/or sidecars equipped with steering dampers in the model line of the Steering Damper or in model lines or classes similar to the Steering Damper.</w:t>
      </w:r>
    </w:p>
    <w:p>
      <w:pPr>
        <w:numPr>
          <w:numId w:val="2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warn consumers such as the Plaintiff of the risk that the handling and performance of the Assembled Motorcycle could be adversely affected in the absence of a steering damper, or by a worn or malfunctioning steering damper, if the Assembled Motorcycle was operated at highway speeds when these Defendants knew or ought to have known of that potential danger;</w:t>
      </w:r>
    </w:p>
    <w:p>
      <w:pPr>
        <w:numPr>
          <w:numId w:val="2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warn consumers such as the Plaintiff of reasonably safe service, inspection and replacement intervals for the Products, in particular the Steering Damper, when the proper functioning of the Products enabled the operator to maintain safe handling of a motorcycle and when these Defendants knew, or ought to have known, that operating the Assembled Motorcycle if the Products were worn, broken, defective, or improperly adjusted this could result in death or injury of the user;</w:t>
      </w:r>
    </w:p>
    <w:p>
      <w:pPr>
        <w:numPr>
          <w:numId w:val="2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warn consumers such as the Plaintiff of the signs of wear, potential or actual malfunction or failure of the Products which could lead to wobble and/or weave instability and the steps that ought to be taken if those signs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on the footing of those pleadings and allegations that the plaintiff sought to examine the defendant's representative on the following questions:</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that the Defendant HDMC was engaged in the design process for the Burgess motorcycle model, sidecar model and sidecar kit model, what internal design standards relating to the handling characteristics with respect to safety did HDMC have for two-wheeled motorcycles? [page 89, lines 21-25; page 90, lines 1-5; page 91, lines 1-25; page 92, lines 1-11]</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wobble or weave instability something that can affect the handling of a motorcycle? [page 94; lines 1-22]</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Harley-Davidson design standards relate to the steering control of touring motorcycles? [page 95, lines 20-25; page 96, lines 1-21]</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Harley-Davidson have internal design standards relating to wobble in two wheeled touring motorcycles? [page 97, lines 2-14]</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Harley-Davidson do wobble testing for two-wheeled motorcycles? [page 97, lines 20-25]</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Harley-Davidson motorcycles experience oscillation of the steering assembly relative to the body of the motorcycle at speeds of 50 miles an hour or greater? [page 145, lines 19-25; page 146, lines 1-3]</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Harley-Davidson touring motorcycles experience oscillation of the steering assembly relative to the body of the motorcycle at speeds of 50 miles an hour or greater? [page 146, lines 4-25; page 147, line 1]</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Harley-Davidson have a definition that it uses to describe or identify the oscillation of the steering assembly relative to the body of the motorcycle at speeds greater than 30 miles an hour? [page 147, lines 22-25; page 148, lines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in response, and in keeping with its concept of the motorcycle sidecar as a characteristically discrete vehicle, takes the position that the questions which the plaintiff wished to pose to the defendant's representative were irrelevant insofar as they related to the characteristics of a two-wheeled vehicle as opposed to a three-wheeled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response to the plaintiff's application, the defendant submits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asked at an examination for discovery must be relevant to the matters in issue. The accident involved a three-wheel vehicle. The handling characteristics of two-wheel and three-wheel vehicles are significantly and fundamentally different. At page 4 of his expert report which is Exhibit A to Valerie Winters' second affidavit at Tab 4 of the binder, Mr. Ezra (Mr. Ezra is plaintiff's expert in this action) says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motorcycle that is equipped with a sidecar is no longer a powered single track vehicle which is the proper technical designation of a motorcycle with no side car. An MCSC (motorcycle sidecar) is a specific vehicle that should not be thought of as a motorcycle. In the MCSC configuration a steering input results in forces between the tire and the road that cause the vehicle to move to the right or to the left which is much more akin to the steering dynamics of a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handling characteristics of a two-wheel vehicle are irrelevant.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third affidavit at paragraph 6, Mr. Ezra says that the steering assembly to Harley-Davidson motorcycles with sidecars are identical to the steering assemblies of solo motorcycles and he is incorrect. Harley-Davidson motorcycles with sidecars have steering dampers (see Brendelson affidavit 2 at Tab 5 in this binder, para. 3(a)). See also Mr. Ezra's expert report at page 7, second paragraph, which is Exhibit 8 of the December 13th, 2011 affidavit of Valerie Winters at Tab 4 of this binder.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third affidavit at paragraph 8, Mr. Ezra says that oscillations and wobbles of the steering mechanism on Harley-Davidson motorcycles with sidecars are identical to oscillations or wobble of the steering mechanisms on solo motorcycles and he is incorrect. Riders of Harley-Davidson motorcycles in ordinary trim do not experience wobble at highway speed (see Brendelson affidavit 2 at Tab 5 in this binder, paragraph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agree that the operative rule is Rule 7-2(18)(a) which reads as follows:</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person being examined for discovery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answer any question within his or her knowledge or means of knowledge regarding any matter, not privileged, relating to a matter in question in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takes the position that it is the pleadings which determine the issues and hence the question of relevance citing the decision of the British Columbia Court of Appeal in </w:t>
      </w:r>
      <w:r>
        <w:rPr>
          <w:rFonts w:ascii="arial" w:eastAsia="arial" w:hAnsi="arial" w:cs="arial"/>
          <w:i/>
          <w:color w:val="000000"/>
          <w:sz w:val="20"/>
          <w:lang w:val="en-US" w:eastAsia="en-US" w:bidi="ar-SA"/>
        </w:rPr>
        <w:t>Cominco Ltd. v. Westinghouse Canada Ltd.</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[1979] B.C.J. No. 1963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the Court on an application such as this ought not to consider evidence in rendering a decision as to do so prejudges the effect of the examination for discovery and usurps the role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on the other hand says the only way to determine relevance within the meaning of the Rule is to consider what the available evidence is likely to establish. The defendant says if I consider the evidence of its expert it will establish that the questions concerning the characteristics of a two-wheeled vehicle are simply not relevant to the characteristics of a three-wheeled vehicle and should not be permitted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on the other hand submits that even if I do consider the evidence the question is simply not so clear cut that I could make a determination without effectively usurping the role of a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see it, this is not a case where it could be said that on the pleadings there is no relevance to the questions being posed. As Seaton J.A. pointed out in </w:t>
      </w:r>
      <w:r>
        <w:rPr>
          <w:rFonts w:ascii="arial" w:eastAsia="arial" w:hAnsi="arial" w:cs="arial"/>
          <w:i/>
          <w:color w:val="000000"/>
          <w:sz w:val="20"/>
          <w:lang w:val="en-US" w:eastAsia="en-US" w:bidi="ar-SA"/>
        </w:rPr>
        <w:t>West Coast Transmission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appropriate to plead evidence and the information respecting these other cables is essentially evidence from which the Court will be asked to conclude that the defendants knew or ought to have known of a danger. The respondents relied upon an affidavit to the effect that evidence of non-tech cable would not be a guide to the propensities of tech cable. The respondents refused to answer questions on that subject. I do not think it appropriate to conclude on affidavit evidence that a proposition is unsound and exclude the area from the examination. That is what was done here. It was said then that before there could be examination with respect to cable other than tech cable the appellant would have to establish that the other cable was similar. I know of no procedure whereby a party can prove an aspect of his case before discovery. The decision on similarity ought to be made at trial, not before trial, and particularly not before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view, on that basis the order sought should go. If I am wrong in that however, I am still not satisfied having considered the evidence put before me that there is not some relevance to the questions being posed. There is a difference between the views of the experts as to the possible cause of the accident and whether it resides exclusively in the characteristics of the vehicle as a three-wheeled vehicle or whether it has its source in the component parts of the two-wheeled vehicle. And that is a question essentially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affidavit of December 12, 2011, the plaintiff's expert deposes as follows in para. 6:</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steering assembly of the Harley-Davidson motorcycle sidecar is identical to that found on the solo motorcycle. The underlying steering assembly response of the base solo motorcycle will behave in the same manner as that same unit will respond when attached to the motorcycle sidecar. This is because they are exactly identical mechanical devices. What will be different is the level of the response of the solo motorcycle vehicle compared to the level of response of the motorcycle sidecar vehicle and the path each vehicle takes due to shaking (oscillations) of the steering assembly once that shaking is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 do not in any way wish to be taken as resolving the issue which undoubtedly is a very complex one, I am simply not able to say that the characteristics of some components of the two-wheeled vehicle as revealed by the questions posed may not be germane to the effect upon the three-wheeled vehicle at issue in this lawsuit and, accordingly, for those reasons, I will grant the application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Camp Development Corp. v. Greater Vancouver Transportation Authority, [2009] B.C.J. No. 1223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 and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S064157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R.P.R. (4th) 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L.C.R.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370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Camp Development Corporation, Plaintiff, and Greater Vancouver Transportation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 w:name="Keywords_4"/>
      <w:bookmarkEnd w:id="34"/>
      <w:r>
        <w:rPr>
          <w:rFonts w:ascii="arial" w:eastAsia="arial" w:hAnsi="arial" w:cs="arial"/>
          <w:b/>
          <w:color w:val="000000"/>
          <w:sz w:val="20"/>
          <w:lang w:val="en-US" w:eastAsia="en-US" w:bidi="ar-SA"/>
        </w:rPr>
        <w:t>Civil litigation — Civil procedure — Pleadings — Amendment of — Statement of claim — Adding new cause of action — To alter or add to claim for relief — Plaintiff's application to amend its statement of claim allowed in part — Challenges to the validity of an expropriation were required prior to vesting, which had taken place nearly four years ago — The GVTA did not require all of the expropriated land for a bridge development and transferred the surplus lands to a third party — The plaintiff argued the defendant was under a duty to offer to sell the excess land back to it — The basic limitation period of six years for pure economic loss, which applied to the alleged torts, had not expired — Expropriation Act, s. 21, s. 51 — Limitation Act, s. 3(2)(a) — Supreme Court Rules, Rule 19(7), Rule 19(24).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Powers of municipality — Expropriation — Compensation — Plaintiff's application to amend its statement of claim allowed in part — Challenges to the validity of an expropriation were required prior to vesting, which had taken place nearly four years ago — The GVTA did not require all of the expropriated land for a bridge development and transferred the surplus lands to a third party — The plaintiff argued the defendant was under a duty to offer to sell the excess land back to it — The basic limitation period of six years for pure economic loss, which applied to the alleged torts, had not expired — Expropriation Act, s. 21, s. 51 — Limitation Act, s. 3(2)(a) — Supreme Court Rules, Rule 19(7), Rule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 w:name="Case Summary_4"/>
            <w:bookmarkEnd w:id="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Campo Development Corp. applied to amend its statement of claim in relation to an expropriation action. The plaintiff sought to question the validity of the expropriation and to seek additional relief in the nature of a return of part of the lands, arguing that there had been an improper disposal to third parties. The Greater Vancouver Transportation Authority (GVTA) expropriated approximately 89 acres of land for use in a linear development of a bridge. The GVTA did not require all of the expropriated land for the bridge development and transferred the surplus lands to a third party. The plaintiff took the position the defendant was under a duty to offer to sell the excess land back to it and was liable to suffer some remedy as a result. The original statement of claim was filed almost three years prior to the plaintiff's application. GTVA opposed the making of the amendments, arguing that they were a challenge to the validity of the expropriation almost four years after it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 w:name="Holdings of Court_3"/>
            <w:bookmarkEnd w:id="3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amendments seeking to challenge the validity of the expropriation were disallowed but those amendments seeking a remedy arising from section 21 of the Expropriation Act were allowed. Section 51 of the Expropriation Act restricted challenges to the validity of an expropriation to the time prior to vesting, which had taken place nearly four years ago. The basic limitation period of six years for pure economic loss, which applied to the alleged torts, had not expired.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Legislation Cited_4"/>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Expropriation Act, </w:t>
      </w:r>
      <w:hyperlink r:id="rId144" w:history="1">
        <w:r>
          <w:rPr>
            <w:rFonts w:ascii="arial" w:eastAsia="arial" w:hAnsi="arial" w:cs="arial"/>
            <w:i/>
            <w:color w:val="0077CC"/>
            <w:sz w:val="20"/>
            <w:u w:val="single"/>
            <w:shd w:val="clear" w:color="auto" w:fill="FFFFFF"/>
            <w:lang w:val="en-US" w:eastAsia="en-US" w:bidi="ar-SA"/>
          </w:rPr>
          <w:t>RSBC 1996, CHAPTER 125, s. 4</w:t>
        </w:r>
      </w:hyperlink>
      <w:r>
        <w:rPr>
          <w:rFonts w:ascii="arial" w:eastAsia="arial" w:hAnsi="arial" w:cs="arial"/>
          <w:color w:val="000000"/>
          <w:sz w:val="20"/>
          <w:lang w:val="en-US" w:eastAsia="en-US" w:bidi="ar-SA"/>
        </w:rPr>
        <w:t>, s. 5, s. 11, s. 12, s. 13, s. 14, s. 15, s. 16, s. 17, s. 18, s. 21, s. 23, s. 24, s. 29, s. 48, s. 45, s. 46, s. 47, 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Expropriation Act, S.B.C. 1987, c.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Expropriation Amendment Act, 2004, SBC 2004, CHAPTER 61, 97/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145" w:history="1">
        <w:r>
          <w:rPr>
            <w:rFonts w:ascii="arial" w:eastAsia="arial" w:hAnsi="arial" w:cs="arial"/>
            <w:i/>
            <w:color w:val="0077CC"/>
            <w:sz w:val="20"/>
            <w:u w:val="single"/>
            <w:shd w:val="clear" w:color="auto" w:fill="FFFFFF"/>
            <w:lang w:val="en-US" w:eastAsia="en-US" w:bidi="ar-SA"/>
          </w:rPr>
          <w:t>RSBC 1996, CHAPTER 241,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Clauses Act (U.K.),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19(1), Rule 19(7),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 w:name="Counsel_4"/>
      <w:bookmarkEnd w:id="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Carpick, M.F. Robson, H. Shapray,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Hanman, L.J. Alexander.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4"/>
      <w:bookmarkEnd w:id="39"/>
      <w:r>
        <w:pict>
          <v:line id="_x0000_s1054"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 Amendments Generally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 and Obvious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Material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Inconsistent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Rule 19(24) Scandalous, frivolous, or vexatious matters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Scheme of the Expropriation Act</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51</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GVTA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Camp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Analysis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51 a Bar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Inconsistent Pleading &amp; Substantive Law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Argument</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Bad Faith &amp; Section 21</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Argument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Cause of Action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Substantive Defences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expropriation action was scheduled for trial commencing April 20, 2009 but the trial was adjourned in part because the plaintiff who is the applicant seeks to amend its statement of claim. There are two sets of amendments that are at issue. One set of amendments questions the validity of the expropriation. A second set of amendments seeks return of a part of the lands, arguing that there has been an improper disposal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to this action and application is briefly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June 2005, the Greater Vancouver Transportation Authority ("GVTA"), an expropriating authority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expropriated approximately 89 acres of land in Maple Ridge (the "Property") owned by Camp Development Corporation ("Camp") (the "Expropriation"). The Expropriation was stated to be for use in a linear development of the Golden Ears Bridge across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21, 2005, the GVTA registered an expropriation notice on the subject lands and a vesting notice was registered on June 29, 2005, transferring title of the subject lands into the name of the GVTA.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29, 2005, the GVTA made an advance payment totalling $7,650,000 and subsequently made an additional payment bringing the total paid, to date, to approximately $9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27, 2006, Camp filed a Writ of Summons and Statement of Claim said to be "subject to the compensation action procedure rule". The following relief was sought in the Statement of Claim:</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market value of the Property and the Advance Payment plus disturbance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sections 46 and 47 of the Expropriation 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pursuant to section 45 of the Expropriation 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caused by making a totally inadequate advance payment.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Filed Writ of Summons and Statement of Claim, Chambers Record, Tab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Nowhere in the original Statement of Claim is there a claim challenging the validity of the Expropriation or seeking return of a portion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Camp accepted all of the advance payments made by the GVTA to date, and commenced this proceeding on the basis that the land had been lawfully expropriated. As noted, Camp took the position that the advance payment was "totally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Camp, almost three years after it filed the Statement of Claim now seeks leave to amend the Statement of Claim to include the following causes of action and/or relief:</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resulting from Excessive Expropriation;</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 disposition of Surplus Land because of the defendant's failure to comply with section 21 of the Act;</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GVTA convey to the Camp the Surplus Land;</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GVTA is a trespasser on some of the land of the Camp and is liable to the Camp in damages;</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as a result of the failure to comply with section 21 of the Act;</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Waiver of Tort, and more specifically, that the Camp may waive its claim for damages and elect to claim, instead, disgorgement by the GVTA and payment to the Camp of all of the benefits gained by the GVTA as a result of the misconduct;</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GVTA obtained a benefit of taking land it wrongfully expropriated which benefit would have accrued to the Camp;</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GVTA was unjustly enriched by the Excessive Expropriation, and is liable to the Camp; and</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carrying out an Excessive Expropriation, the GVTA acted in bad faith.</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Draft Amended Statement of Claim, Chambers Record, Tab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its application Camp summarily describes its position thus: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Camp seeks to advance the following claims to which the Authority objects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expropriated more land than it actually required for its purposes. This made the expropriation void, or entitles Camp to damages.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authority breached section 21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by failing to offer to sell the excess land back to Camp.</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causing Maple Ridge to delay Camp's rezoning application, the Authority unlawfully interfered with Camp's economic interests.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acted in bad faith. In particular, the Authority unlawfully expropriated an excessive amount of land.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Camp also seeks a remedy on the basis of a plea of "waiver of tort", that is, disgorgement by the Authority of the gain it made, not simply compensatory damages.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proposed amended pleading, Camp's allegation about the Authority taking more land than it needed, and acting in bad faith, is that any compensation Camp may be entitled to receive under the Expropriation Act based purely on a "market value" opinion is significantly less than its true loss as a result of the expropriation ("loss" in this sense being the economic position Camp would be in but for the expropriation, even taking into account all proper adjustments). Camp assert that tort based compensation or alternatively the "waiver of tort" provides a more just indemnity than the Expropriation Act alone.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Camp contends that because its cost base of the land was so low (it purchased the land in 1993) it was in a unique position that no current buyer could exploit If the Property had not been expropriated, Camp would have developed it by constructing industrial warehouses, leased them, and earned an income stream having a much more significant value than is reflected by the compensation stipulated to be as market value Camp is entitled to receive under the Expropriation 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had Camp been further along in this process than it was allowed to get by reason of the alleged tortious conduct of the Authority, it might have had a better case for establishing a higher market value of the expropriated property.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 Camp's complaint is due to the fact that the definition of market value in the Expropriation Act stipulates a price determined on the basis that the land owner is a willing seller. That was not true in Camp's situation because - being on the cusp of developing, but not yet having developed the property - if it had sold the property, Camp would have had to accept a price lower than the amount at which it valued the land if Camp retained it because any profit to be realized by development would not have been paid to Camp by a willing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crux of one set of proposed amendments is at its most fundamental, a challenge to the validity of the Expropriation. Camp alleges that all, or a portion of the taking was invalid because of the GVTA's alleged unlawful or "bad faith" actions in carrying out the Expropriation. Based on these allegedly unlawful actions Camp is seeking to have the Property or a portion thereof conveyed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this time there is a bridge on the lands. As explained to me, Camp does not actually seek a return of all of the lands, but if the Expropriation is invalid, the GVTA would have to expropriate anew, with a different valuation date, and there is benefit to Camp in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set of proposed amendments relates to the obligations of GVTA if not all of the expropriated land is required for purpose of the expropriation. Camp says that the GVTA breached its obligations under section 21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reason for the proposed amendments is Camp's view that "... any compensation Camp may be entitled to receive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based purely on a 'market value' opinion is significantly less than its true loss as a result of the expropriation ('loss' in this sense being the economic position Camp would be in but for the expropriation, even taking into account all property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Camp's view that tort based compensation or alternatively waiver of tort provides a more just indemnity than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GVTA opposes most of the amendments. The basis of their objections are that (1) Section 51 of the Act, and section 8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is a bar to the relief claimed; (2) that Section 21 of the Act is a bar to the relief claimed; (3) that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a bar to the relief claimed, (4) that the proposed amendments are inconsistent with the original relief claimed, and there is an estoppel based 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Camp asserts opposing positions based on its interpretation of the statutes and caselaw, and argues further, that the court should not adjudicate these issues without a trial in an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Pleading Amendments Generally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 and Obvious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deciding whether to dismiss an action or to allow an amendment to pleadings generally, the remedy of striking a pleading and dismissing a claim is limited to situations in which it is plain and obvious that the claim cannot succeed because it does not raise a triable issue. The fact that the matter is obscure, either by reason of fact or law, is not, by itself, a basis upon which to strike a pleading and dismiss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Striking a pleading and dismissing a claim is restricted to situations in which redrafting an amendment would be fruitless because the proposed claim, regardless of how it is drafted, is without legal foundation: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Extra Gift Exchange Inc.</w:t>
      </w:r>
      <w:r>
        <w:rPr>
          <w:rFonts w:ascii="arial" w:eastAsia="arial" w:hAnsi="arial" w:cs="arial"/>
          <w:color w:val="000000"/>
          <w:sz w:val="20"/>
          <w:lang w:val="en-US" w:eastAsia="en-US" w:bidi="ar-SA"/>
        </w:rPr>
        <w:t>, the pleadings as they stood were so prolix and confusing that it was difficult, if not impossible, for the defendants to know the claims they were to meet. The pleadings were struck and the claims were dismissed where it was plain and obvious that they would fail; and amendments were permitted where it was not plain and obvious they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main subrules at issue in this application are RR. 19(1), (7), and (24)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19, as far as is relevant,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Inconsistent allegations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shall not plead an allegation of fact or a new ground or claim inconsistent with the party's previous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 allegations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(7) does not affect the right of a party to make allegations in the alternative or to amend or apply for leave to amend a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Rule 19(1) states that, "[a] pleading ... shall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requirement to plead material facts and not evidence is, on occasion, troublesome. The problem is that a party must plead all material facts on which he intends to rely at trial, omitting no averment essential to success (see </w:t>
      </w:r>
      <w:r>
        <w:rPr>
          <w:rFonts w:ascii="arial" w:eastAsia="arial" w:hAnsi="arial" w:cs="arial"/>
          <w:i/>
          <w:color w:val="000000"/>
          <w:sz w:val="20"/>
          <w:lang w:val="en-US" w:eastAsia="en-US" w:bidi="ar-SA"/>
        </w:rPr>
        <w:t>Wyman and Moscrop Realty Ltd. v. Vancouver Real Estate Board</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(1957), 8 D.L.R. (2d) 724</w:t>
        </w:r>
      </w:hyperlink>
      <w:r>
        <w:rPr>
          <w:rFonts w:ascii="arial" w:eastAsia="arial" w:hAnsi="arial" w:cs="arial"/>
          <w:color w:val="000000"/>
          <w:sz w:val="20"/>
          <w:lang w:val="en-US" w:eastAsia="en-US" w:bidi="ar-SA"/>
        </w:rPr>
        <w:t xml:space="preserve"> (B.C.C.A.)) without violating the stricture against pleading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Frederick Irvine, </w:t>
      </w:r>
      <w:r>
        <w:rPr>
          <w:rFonts w:ascii="arial" w:eastAsia="arial" w:hAnsi="arial" w:cs="arial"/>
          <w:i/>
          <w:color w:val="000000"/>
          <w:sz w:val="20"/>
          <w:lang w:val="en-US" w:eastAsia="en-US" w:bidi="ar-SA"/>
        </w:rPr>
        <w:t>McLachlin &amp; Taylor: British Columbia Practice</w:t>
      </w:r>
      <w:r>
        <w:rPr>
          <w:rFonts w:ascii="arial" w:eastAsia="arial" w:hAnsi="arial" w:cs="arial"/>
          <w:color w:val="000000"/>
          <w:sz w:val="20"/>
          <w:lang w:val="en-US" w:eastAsia="en-US" w:bidi="ar-SA"/>
        </w:rPr>
        <w:t>, looseleaf, 3d ed. (Markham: Lexis Nexis Canada Inc., 2006)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points out at 19-3(2):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between material facts and evidence is essentially one of degree. A material fact is a fact that of itself is necessary to establish a legal proposition and without which the cause of action is incomplete: </w:t>
      </w:r>
      <w:r>
        <w:rPr>
          <w:rFonts w:ascii="arial" w:eastAsia="arial" w:hAnsi="arial" w:cs="arial"/>
          <w:i/>
          <w:color w:val="000000"/>
          <w:sz w:val="20"/>
          <w:lang w:val="en-US" w:eastAsia="en-US" w:bidi="ar-SA"/>
        </w:rPr>
        <w:t>Bruce v. Odhams Press Ltd.,</w:t>
      </w:r>
      <w:r>
        <w:rPr>
          <w:rFonts w:ascii="arial" w:eastAsia="arial" w:hAnsi="arial" w:cs="arial"/>
          <w:color w:val="000000"/>
          <w:sz w:val="20"/>
          <w:lang w:val="en-US" w:eastAsia="en-US" w:bidi="ar-SA"/>
        </w:rPr>
        <w:t xml:space="preserve"> [1936] 1 All E.R. 287, [1936] 1 K.B. 697 (C.A.). Evidence includes those facts necessary to establish the material facts: </w:t>
      </w:r>
      <w:r>
        <w:rPr>
          <w:rFonts w:ascii="arial" w:eastAsia="arial" w:hAnsi="arial" w:cs="arial"/>
          <w:i/>
          <w:color w:val="000000"/>
          <w:sz w:val="20"/>
          <w:lang w:val="en-US" w:eastAsia="en-US" w:bidi="ar-SA"/>
        </w:rPr>
        <w:t>Phillips v. Phillips</w:t>
      </w:r>
      <w:r>
        <w:rPr>
          <w:rFonts w:ascii="arial" w:eastAsia="arial" w:hAnsi="arial" w:cs="arial"/>
          <w:color w:val="000000"/>
          <w:sz w:val="20"/>
          <w:lang w:val="en-US" w:eastAsia="en-US" w:bidi="ar-SA"/>
        </w:rPr>
        <w:t xml:space="preserve"> (1878), 4 Q.B.D. 127 (C.A.). It is a safe practice, if in doubt, to plead a matter as the risk of having an order go to strike out a portion of one's pleading as being evidence is remote, and the consequences of such an order are slight (costs), while the consequences of having omitted to plead a material fact might be to have one's pleading struck out or claim dismissed for failure to state a cause of action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v. British Columbia (Egg Marketing Board)</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(2002), 23 C.P.C. (5th) 127</w:t>
        </w:r>
      </w:hyperlink>
      <w:r>
        <w:rPr>
          <w:rFonts w:ascii="arial" w:eastAsia="arial" w:hAnsi="arial" w:cs="arial"/>
          <w:color w:val="000000"/>
          <w:sz w:val="20"/>
          <w:lang w:val="en-US" w:eastAsia="en-US" w:bidi="ar-SA"/>
        </w:rPr>
        <w:t xml:space="preserve"> at para. 13 (B.C.S.C.), the chambers judge cited with approval the following passage from Fraser &amp; Horn, </w:t>
      </w:r>
      <w:r>
        <w:rPr>
          <w:rFonts w:ascii="arial" w:eastAsia="arial" w:hAnsi="arial" w:cs="arial"/>
          <w:i/>
          <w:color w:val="000000"/>
          <w:sz w:val="20"/>
          <w:lang w:val="en-US" w:eastAsia="en-US" w:bidi="ar-SA"/>
        </w:rPr>
        <w:t>The Conduct of Civil Litigation in British Columbia</w:t>
      </w:r>
      <w:r>
        <w:rPr>
          <w:rFonts w:ascii="arial" w:eastAsia="arial" w:hAnsi="arial" w:cs="arial"/>
          <w:color w:val="000000"/>
          <w:sz w:val="20"/>
          <w:lang w:val="en-US" w:eastAsia="en-US" w:bidi="ar-SA"/>
        </w:rPr>
        <w:t>, Vol. 1 (Vancouver: Butterworths, 1995) at 265-66: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affirmative pleading should be complete enough as a narrative that the real story of what occurred between the parties may be understood by anyone reading it. This will occasionally lead the pleader to include information which, strictly speaking, is not necessary or entirely proper ... So long as the (technically) superfluous information contributes to the comprehensibility of the narrative and is not scandalous, prejudicial or embarrassing to the meaning of Rule 19(24) it seems permissible and even desirable to stretch the Rules of pleading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That said, the standard elucidated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 110 (adopted in </w:t>
      </w:r>
      <w:r>
        <w:rPr>
          <w:rFonts w:ascii="arial" w:eastAsia="arial" w:hAnsi="arial" w:cs="arial"/>
          <w:i/>
          <w:color w:val="000000"/>
          <w:sz w:val="20"/>
          <w:lang w:val="en-US" w:eastAsia="en-US" w:bidi="ar-SA"/>
        </w:rPr>
        <w:t>Strauss v. Jarvis</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2007 BCCA 605</w:t>
        </w:r>
      </w:hyperlink>
      <w:r>
        <w:rPr>
          <w:rFonts w:ascii="arial" w:eastAsia="arial" w:hAnsi="arial" w:cs="arial"/>
          <w:color w:val="000000"/>
          <w:sz w:val="20"/>
          <w:lang w:val="en-US" w:eastAsia="en-US" w:bidi="ar-SA"/>
        </w:rPr>
        <w:t xml:space="preserve"> at para. 15), is that material facts must be prepared in conventional form so that the defendant knows the case he has to meet. Pleadings that fail to identify the cause of action, that contain irrelevant material, or that are intended to confuse, are prejudicial and will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Inconsistent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19(7) states, "[a] party shall not plead an allegation of fact or a new ground or claim inconsistent with the party's previous pleading". The effect of this rule is to prevent a party from setting up a claim in a subsequent pleading, which is inconsistent with an earlier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xml:space="preserve"> discusses the traditional interpretation of R. 19(7)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19(7) was given its conventional interpretation in </w:t>
      </w:r>
      <w:r>
        <w:rPr>
          <w:rFonts w:ascii="arial" w:eastAsia="arial" w:hAnsi="arial" w:cs="arial"/>
          <w:i/>
          <w:color w:val="000000"/>
          <w:sz w:val="20"/>
          <w:lang w:val="en-US" w:eastAsia="en-US" w:bidi="ar-SA"/>
        </w:rPr>
        <w:t>Business Depot Ltd. v. Lehndorff Management Ltd.</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[1996] B.C.J. No. 1961</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48 B.C.L.R. (3d) 326</w:t>
        </w:r>
      </w:hyperlink>
      <w:r>
        <w:rPr>
          <w:rFonts w:ascii="arial" w:eastAsia="arial" w:hAnsi="arial" w:cs="arial"/>
          <w:color w:val="000000"/>
          <w:sz w:val="20"/>
          <w:lang w:val="en-US" w:eastAsia="en-US" w:bidi="ar-SA"/>
        </w:rPr>
        <w:t>, at paras. 23-25 (C.A.), where the court (without reference to other authorities) described R. 19(7) as the rule against what is commonly known as "departure" and found the departure in several respects: (1) the reply alleged an oral contract different from the contract alleged in the statement of claim; (2) the reply asserted a collateral oral contract; and (3) the reply claimed rectification of the contract. Those were all different causes of action from those pleaded in the statement of claim, in which the plaintiff had sought specific performance. The court held that the plaintiff was bound by the statement of claim and that the remedy of rectification was therefore not available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Bratsch Inc. v. LeBrooy</w:t>
      </w:r>
      <w:r>
        <w:rPr>
          <w:rFonts w:ascii="arial" w:eastAsia="arial" w:hAnsi="arial" w:cs="arial"/>
          <w:color w:val="000000"/>
          <w:sz w:val="20"/>
          <w:lang w:val="en-US" w:eastAsia="en-US" w:bidi="ar-SA"/>
        </w:rPr>
        <w:t xml:space="preserve"> (1991), 3 C.P.C. (3d) 192 (B.C.S.C.), the court asserts the order of pleadings does not make a difference and a party cannot plead an allegation of fact or a new ground or claim inconsistent with the party's previous pleading. However, in </w:t>
      </w:r>
      <w:r>
        <w:rPr>
          <w:rFonts w:ascii="arial" w:eastAsia="arial" w:hAnsi="arial" w:cs="arial"/>
          <w:i/>
          <w:color w:val="000000"/>
          <w:sz w:val="20"/>
          <w:lang w:val="en-US" w:eastAsia="en-US" w:bidi="ar-SA"/>
        </w:rPr>
        <w:t>Gabbs v. Bouwhuis</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2005 BCSC 1782</w:t>
        </w:r>
      </w:hyperlink>
      <w:r>
        <w:rPr>
          <w:rFonts w:ascii="arial" w:eastAsia="arial" w:hAnsi="arial" w:cs="arial"/>
          <w:color w:val="000000"/>
          <w:sz w:val="20"/>
          <w:lang w:val="en-US" w:eastAsia="en-US" w:bidi="ar-SA"/>
        </w:rPr>
        <w:t xml:space="preserve">, Bennett J. (as she then was) observed that </w:t>
      </w:r>
      <w:r>
        <w:rPr>
          <w:rFonts w:ascii="arial" w:eastAsia="arial" w:hAnsi="arial" w:cs="arial"/>
          <w:i/>
          <w:color w:val="000000"/>
          <w:sz w:val="20"/>
          <w:lang w:val="en-US" w:eastAsia="en-US" w:bidi="ar-SA"/>
        </w:rPr>
        <w:t>Bratsch</w:t>
      </w:r>
      <w:r>
        <w:rPr>
          <w:rFonts w:ascii="arial" w:eastAsia="arial" w:hAnsi="arial" w:cs="arial"/>
          <w:color w:val="000000"/>
          <w:sz w:val="20"/>
          <w:lang w:val="en-US" w:eastAsia="en-US" w:bidi="ar-SA"/>
        </w:rPr>
        <w:t xml:space="preserve"> had been "... criticized by legal writers for interpreting 'previous pleading' as including the same document", citing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xml:space="preserve">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Madam Justice Bennett declined to follow </w:t>
      </w:r>
      <w:r>
        <w:rPr>
          <w:rFonts w:ascii="arial" w:eastAsia="arial" w:hAnsi="arial" w:cs="arial"/>
          <w:i/>
          <w:color w:val="000000"/>
          <w:sz w:val="20"/>
          <w:lang w:val="en-US" w:eastAsia="en-US" w:bidi="ar-SA"/>
        </w:rPr>
        <w:t>Bratsch</w:t>
      </w:r>
      <w:r>
        <w:rPr>
          <w:rFonts w:ascii="arial" w:eastAsia="arial" w:hAnsi="arial" w:cs="arial"/>
          <w:color w:val="000000"/>
          <w:sz w:val="20"/>
          <w:lang w:val="en-US" w:eastAsia="en-US" w:bidi="ar-SA"/>
        </w:rPr>
        <w:t>, because it did not refer to the significant body of case law on that point, and therefore was not binding authority. The court concluded at para. 24 that a party may plead inconsistent claims in the statement of claim and defence but cannot make an alternative claim that is inconsistent in reply or in a defence to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plaintiff's counsel note in their </w:t>
      </w:r>
      <w:r>
        <w:rPr>
          <w:rFonts w:ascii="arial" w:eastAsia="arial" w:hAnsi="arial" w:cs="arial"/>
          <w:i/>
          <w:color w:val="000000"/>
          <w:sz w:val="20"/>
          <w:lang w:val="en-US" w:eastAsia="en-US" w:bidi="ar-SA"/>
        </w:rPr>
        <w:t>Reply to Defendant's Outline</w:t>
      </w:r>
      <w:r>
        <w:rPr>
          <w:rFonts w:ascii="arial" w:eastAsia="arial" w:hAnsi="arial" w:cs="arial"/>
          <w:color w:val="000000"/>
          <w:sz w:val="20"/>
          <w:lang w:val="en-US" w:eastAsia="en-US" w:bidi="ar-SA"/>
        </w:rPr>
        <w:t>, R. 19(7) is not intended to restrict a party's right to plead in the alternative: R.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Rule 19(24) Scandalous, frivolous, or vexatious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basic issue to be determined on an application under R. 19(24) is whether there is a question to be tried, regardless of the complexity or novelty of that question. That issue must be decided on the basis of the pleadings as they stand or as they might be amended: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court's role in such an application is to decide whether the claimant has a plausible argument that ought to be heard at trial. The procedure under R. 19(24) is only to be relied on in "plain and obvious cases": </w:t>
      </w:r>
      <w:r>
        <w:rPr>
          <w:rFonts w:ascii="arial" w:eastAsia="arial" w:hAnsi="arial" w:cs="arial"/>
          <w:i/>
          <w:color w:val="000000"/>
          <w:sz w:val="20"/>
          <w:lang w:val="en-US" w:eastAsia="en-US" w:bidi="ar-SA"/>
        </w:rPr>
        <w:t>Hunt v. T&amp;N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at paras. 6-17, Madam Justice Garson summarizes the law on R. 19(24) and extracts five general propositions from the authorities concerning the circumstances under which pleadings will be struck. It is worth noting that in the instant case the defendant states at para. 21 of its </w:t>
      </w:r>
      <w:r>
        <w:rPr>
          <w:rFonts w:ascii="arial" w:eastAsia="arial" w:hAnsi="arial" w:cs="arial"/>
          <w:i/>
          <w:color w:val="000000"/>
          <w:sz w:val="20"/>
          <w:lang w:val="en-US" w:eastAsia="en-US" w:bidi="ar-SA"/>
        </w:rPr>
        <w:t>Chambers Brief of the Defendant Re: Amendment of Statement of Claim</w:t>
      </w:r>
      <w:r>
        <w:rPr>
          <w:rFonts w:ascii="arial" w:eastAsia="arial" w:hAnsi="arial" w:cs="arial"/>
          <w:color w:val="000000"/>
          <w:sz w:val="20"/>
          <w:lang w:val="en-US" w:eastAsia="en-US" w:bidi="ar-SA"/>
        </w:rPr>
        <w:t xml:space="preserve">, that only RR. 19(24)(a), (b), and (d), are at issue in the application. Thus, the portions of </w:t>
      </w:r>
      <w:r>
        <w:rPr>
          <w:rFonts w:ascii="arial" w:eastAsia="arial" w:hAnsi="arial" w:cs="arial"/>
          <w:i/>
          <w:color w:val="000000"/>
          <w:sz w:val="20"/>
          <w:lang w:val="en-US" w:eastAsia="en-US" w:bidi="ar-SA"/>
        </w:rPr>
        <w:t>Dempsey</w:t>
      </w:r>
      <w:r>
        <w:rPr>
          <w:rFonts w:ascii="arial" w:eastAsia="arial" w:hAnsi="arial" w:cs="arial"/>
          <w:color w:val="000000"/>
          <w:sz w:val="20"/>
          <w:lang w:val="en-US" w:eastAsia="en-US" w:bidi="ar-SA"/>
        </w:rPr>
        <w:t xml:space="preserve"> relating to R. 19(24)(c) are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Paras. 6-17 of </w:t>
      </w:r>
      <w:r>
        <w:rPr>
          <w:rFonts w:ascii="arial" w:eastAsia="arial" w:hAnsi="arial" w:cs="arial"/>
          <w:i/>
          <w:color w:val="000000"/>
          <w:sz w:val="20"/>
          <w:lang w:val="en-US" w:eastAsia="en-US" w:bidi="ar-SA"/>
        </w:rPr>
        <w:t>Dempsey</w:t>
      </w:r>
      <w:r>
        <w:rPr>
          <w:rFonts w:ascii="arial" w:eastAsia="arial" w:hAnsi="arial" w:cs="arial"/>
          <w:color w:val="000000"/>
          <w:sz w:val="20"/>
          <w:lang w:val="en-US" w:eastAsia="en-US" w:bidi="ar-SA"/>
        </w:rPr>
        <w:t xml:space="preserve">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LEGAL TEST TO STRIKE PLEADINGS OR ACTIONS PURSUANT TO R. 19(24)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R.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provides as follows: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 rule (24)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question of whether a pleading discloses no reasonable claim under R. 19(24)(a) is to be determined on the basis that the facts as pleaded are true. Where it is "plain and obvious" that the claims, as pleaded, or as they might be amended, disclose no reasonable claim, the court has the discretion to dismiss the claim. Any doubt is to be resolved in favour of allowing the pleadings to stand (see </w:t>
      </w:r>
      <w:r>
        <w:rPr>
          <w:rFonts w:ascii="arial" w:eastAsia="arial" w:hAnsi="arial" w:cs="arial"/>
          <w:i/>
          <w:color w:val="000000"/>
          <w:sz w:val="20"/>
          <w:lang w:val="en-US" w:eastAsia="en-US" w:bidi="ar-SA"/>
        </w:rPr>
        <w:t>Hunt v. T &amp; 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w:t>
      </w:r>
      <w:r>
        <w:rPr>
          <w:rFonts w:ascii="arial" w:eastAsia="arial" w:hAnsi="arial" w:cs="arial"/>
          <w:i/>
          <w:color w:val="000000"/>
          <w:sz w:val="20"/>
          <w:lang w:val="en-US" w:eastAsia="en-US" w:bidi="ar-SA"/>
        </w:rPr>
        <w:t>Citizens of Foreign Aid Reform Inc. v. Canadian Jewish Congress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 276, para.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RULE 19(24)(b) (c) and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Citizens for Foreign Aid Relief Inc.</w:t>
      </w:r>
      <w:r>
        <w:rPr>
          <w:rFonts w:ascii="arial" w:eastAsia="arial" w:hAnsi="arial" w:cs="arial"/>
          <w:color w:val="000000"/>
          <w:sz w:val="20"/>
          <w:lang w:val="en-US" w:eastAsia="en-US" w:bidi="ar-SA"/>
        </w:rPr>
        <w:t xml:space="preserve"> the court set out a useful summary of the jurisprudence respecting R. 19(24)(b) and (c) as follows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 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(December 2, 1991), Doc. Vancouver C9136131 (B.C.S.C.) ... 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Chrisgian v. B.C. Rail Ltd.</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xml:space="preserve"> (July 3, 1992), Doc. Prince George 20714 (B.C. Master). (see also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Pleadings will be struck out if they abuse the process of the court. Abuse of process is a flexible doctrine that allows the court to prevent a claim from proceeding where it "violates such principles as judicial economy, consistency, finality and the integrity of the administration of justice". (see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One way in which these principles are violated is where parties make allegations in subsequent proceedings that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Parties may not bring forward in a subsequent action, points related to the subject matter of previous litigation that the parties, exercising reasonable diligence, might have been able to bring forward. (</w:t>
      </w:r>
      <w:r>
        <w:rPr>
          <w:rFonts w:ascii="arial" w:eastAsia="arial" w:hAnsi="arial" w:cs="arial"/>
          <w:i/>
          <w:color w:val="000000"/>
          <w:sz w:val="20"/>
          <w:lang w:val="en-US" w:eastAsia="en-US" w:bidi="ar-SA"/>
        </w:rPr>
        <w:t>Johnson v. Gore Wood &amp; Co.</w:t>
      </w:r>
      <w:r>
        <w:rPr>
          <w:rFonts w:ascii="arial" w:eastAsia="arial" w:hAnsi="arial" w:cs="arial"/>
          <w:color w:val="000000"/>
          <w:sz w:val="20"/>
          <w:lang w:val="en-US" w:eastAsia="en-US" w:bidi="ar-SA"/>
        </w:rPr>
        <w:t xml:space="preserve">, 2002 2 A.C.1 at 23 English Court of Appeal and </w:t>
      </w:r>
      <w:r>
        <w:rPr>
          <w:rFonts w:ascii="arial" w:eastAsia="arial" w:hAnsi="arial" w:cs="arial"/>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[2004] B.C.J. No. 705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3 Hare 100, 114 to 115, cited in </w:t>
      </w:r>
      <w:r>
        <w:rPr>
          <w:rFonts w:ascii="arial" w:eastAsia="arial" w:hAnsi="arial" w:cs="arial"/>
          <w:i/>
          <w:color w:val="000000"/>
          <w:sz w:val="20"/>
          <w:lang w:val="en-US" w:eastAsia="en-US" w:bidi="ar-SA"/>
        </w:rPr>
        <w:t>Samos</w:t>
      </w:r>
      <w:r>
        <w:rPr>
          <w:rFonts w:ascii="arial" w:eastAsia="arial" w:hAnsi="arial" w:cs="arial"/>
          <w:color w:val="000000"/>
          <w:sz w:val="20"/>
          <w:lang w:val="en-US" w:eastAsia="en-US" w:bidi="ar-SA"/>
        </w:rPr>
        <w:t xml:space="preserv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was discussed.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at para. 18 it was held that R. 19(24)(d) gives the court the discretion to dismiss actions on the basis of abuse of process, that is, where the court process is being used for an improper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 which are without foundation or serve no useful purpose and multiple or successive readings which cause or are likely to cause vexation or oppression.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Babavic,</w:t>
      </w:r>
      <w:r>
        <w:rPr>
          <w:rFonts w:ascii="arial" w:eastAsia="arial" w:hAnsi="arial" w:cs="arial"/>
          <w:color w:val="000000"/>
          <w:sz w:val="20"/>
          <w:lang w:val="en-US" w:eastAsia="en-US" w:bidi="ar-SA"/>
        </w:rPr>
        <w:t xml:space="preserve"> Baker J. cited with approval the statement from I.H. Jacob, in "The Inherent Jurisdiction of the Court" as follows at page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 of abuse of process] connotes that the process of the court must be used properly, honestly and in good faith, and must not be abused. It means that the court will not allow its function as a court of law to be misused, and it will summarily prevent its machinery from being used as a means of vexation or oppression in the process of litigation. Unless the court had power to intervene summarily to prevent the misuse of legal machinery, the nature and function of the court would be transformed from a court dispensing justice into an instrument of injustice.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follows that where an abuse of process has taken place, the intervention of the court by stay or even dismissal of proceedings may often be required by the very essence of justice to be done, and so to prevent parties being harassed and put to expense by frivolous, vexatious or groundless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xml:space="preserve"> Arbour, J. stated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Judges have an inherent and residual discretion to prevent an abuse of the court's process.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page 616), and as "oppressive treatment" (</w:t>
      </w:r>
      <w:r>
        <w:rPr>
          <w:rFonts w:ascii="arial" w:eastAsia="arial" w:hAnsi="arial" w:cs="arial"/>
          <w:i/>
          <w:color w:val="000000"/>
          <w:sz w:val="20"/>
          <w:lang w:val="en-US" w:eastAsia="en-US" w:bidi="ar-SA"/>
        </w:rPr>
        <w:t>R. v. Connelly</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at page 1667).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xml:space="preserve">, Arbour J. cited with approval Madam Justice McLachlin's statement concerning the doctrine of abuse of process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xml:space="preserve"> as follows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Abuse of process may be established where: (1) the proceedings are oppressive or vexatious; and (2) violate the fundamental principles of justice underlying the community's sense of fair play and decency. The concepts of oppressiveness and vexatiousness underlying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[2000] B.C.J. No. 84</w:t>
        </w:r>
      </w:hyperlink>
      <w:r>
        <w:rPr>
          <w:rFonts w:ascii="arial" w:eastAsia="arial" w:hAnsi="arial" w:cs="arial"/>
          <w:color w:val="000000"/>
          <w:sz w:val="20"/>
          <w:lang w:val="en-US" w:eastAsia="en-US" w:bidi="ar-SA"/>
        </w:rPr>
        <w:t xml:space="preserve"> (S.C.), reversed on other grounds, </w:t>
      </w:r>
      <w:hyperlink r:id="rId164" w:history="1">
        <w:r>
          <w:rPr>
            <w:rFonts w:ascii="arial" w:eastAsia="arial" w:hAnsi="arial" w:cs="arial"/>
            <w:i/>
            <w:color w:val="0077CC"/>
            <w:sz w:val="20"/>
            <w:u w:val="single"/>
            <w:shd w:val="clear" w:color="auto" w:fill="FFFFFF"/>
            <w:lang w:val="en-US" w:eastAsia="en-US" w:bidi="ar-SA"/>
          </w:rPr>
          <w:t>[2000] B.C.J. No. 2855</w:t>
        </w:r>
      </w:hyperlink>
      <w:r>
        <w:rPr>
          <w:rFonts w:ascii="arial" w:eastAsia="arial" w:hAnsi="arial" w:cs="arial"/>
          <w:color w:val="000000"/>
          <w:sz w:val="20"/>
          <w:lang w:val="en-US" w:eastAsia="en-US" w:bidi="ar-SA"/>
        </w:rPr>
        <w:t>) Master Baker said at para.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attacks the statement of defence under Rule 19(24). A pleading is frivolous if it is without substance, is groundless, fanciful, "trifles with the court" or wastes time. This statement of defence does, in my view, waste time and verges on the fanciful. There may, somewhere in the general traverse, be grounds, but as pleaded it lacks substance. It is therefore frivolous.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pleading is vexatious if it is without bona fides, is "hopelessly oppressive" or causes the other party anxiety, trouble or expense. This statement of defence cannot be said to be oppressive and possibly not without bona fides, but is almost certain to cause the plaintiff (and indeed has already caused) anxiety, trouble and expense. It is therefore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pleading, to avoid being embarrassing, must not be concealing or evasive. It must state the real issue in an intelligible form. It must, in short, be a part, even in a minimally articulated form, of that constructive conversation to which I have alluded. This statement of defence does not meet that standard. It is therefore embarrassing.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summary, a pleading will be struck out if:</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(Citizens for Foreign aid Reform, supra);</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w:t>
      </w:r>
      <w:r>
        <w:rPr>
          <w:rFonts w:ascii="arial" w:eastAsia="arial" w:hAnsi="arial" w:cs="arial"/>
          <w:i/>
          <w:color w:val="000000"/>
          <w:sz w:val="20"/>
          <w:lang w:val="en-US" w:eastAsia="en-US" w:bidi="ar-SA"/>
        </w:rPr>
        <w:t>Citizens for Foreign aid Reform, supra</w:t>
      </w:r>
      <w:r>
        <w:rPr>
          <w:rFonts w:ascii="arial" w:eastAsia="arial" w:hAnsi="arial" w:cs="arial"/>
          <w:color w:val="000000"/>
          <w:sz w:val="20"/>
          <w:lang w:val="en-US" w:eastAsia="en-US" w:bidi="ar-SA"/>
        </w:rPr>
        <w: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i/>
          <w:color w:val="000000"/>
          <w:sz w:val="20"/>
          <w:lang w:val="en-US" w:eastAsia="en-US" w:bidi="ar-SA"/>
        </w:rPr>
        <w:t>Borsato v. Basra, supra</w:t>
      </w:r>
      <w:r>
        <w:rPr>
          <w:rFonts w:ascii="arial" w:eastAsia="arial" w:hAnsi="arial" w:cs="arial"/>
          <w:color w:val="000000"/>
          <w:sz w:val="20"/>
          <w:lang w:val="en-US" w:eastAsia="en-US" w:bidi="ar-SA"/>
        </w:rPr>
        <w: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 (</w:t>
      </w:r>
      <w:r>
        <w:rPr>
          <w:rFonts w:ascii="arial" w:eastAsia="arial" w:hAnsi="arial" w:cs="arial"/>
          <w:i/>
          <w:color w:val="000000"/>
          <w:sz w:val="20"/>
          <w:lang w:val="en-US" w:eastAsia="en-US" w:bidi="ar-SA"/>
        </w:rPr>
        <w:t>Ebrahim v. Ebrahim,</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recent case of </w:t>
      </w:r>
      <w:r>
        <w:rPr>
          <w:rFonts w:ascii="arial" w:eastAsia="arial" w:hAnsi="arial" w:cs="arial"/>
          <w:i/>
          <w:color w:val="000000"/>
          <w:sz w:val="20"/>
          <w:lang w:val="en-US" w:eastAsia="en-US" w:bidi="ar-SA"/>
        </w:rPr>
        <w:t>Greater Vancouver Regional District v. British Columbia (Attorney General)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BCSC 577</w:t>
        </w:r>
      </w:hyperlink>
      <w:r>
        <w:rPr>
          <w:rFonts w:ascii="arial" w:eastAsia="arial" w:hAnsi="arial" w:cs="arial"/>
          <w:color w:val="000000"/>
          <w:sz w:val="20"/>
          <w:lang w:val="en-US" w:eastAsia="en-US" w:bidi="ar-SA"/>
        </w:rPr>
        <w:t xml:space="preserve"> at para. 31, Madam Justice Garson revisited R. 19(24)(a) and added to the above discussion the proposition that, "... difficult questions of law, even if they are complex or novel, may well be decided under this rule if on a proper analysis of the law it is plain and obvious that the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test on an application under RR. 19(24)(b), (c), or (d) is the same as that under R. 19(24)(a), that is, the applicant must show that it is "plain and obvious" that the pleading offends the subrule in question: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 xml:space="preserve">The Scheme of the </w:t>
      </w:r>
      <w:r>
        <w:rPr>
          <w:rFonts w:ascii="arial" w:eastAsia="arial" w:hAnsi="arial" w:cs="arial"/>
          <w:b/>
          <w:i/>
          <w:color w:val="000000"/>
          <w:sz w:val="20"/>
          <w:u w:val="single"/>
          <w:lang w:val="en-US" w:eastAsia="en-US" w:bidi="ar-SA"/>
        </w:rPr>
        <w:t>Expropriation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Prior to the Act, various statutes provided that local government and various other provincially created authorities, had expropriation powers and used procedures that were set out in those respective statutes. The new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S.B.C. 1987, c. 23 established uniform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Previously, the procedures were different, and if an enactment contained no procedure, reliance was to be had on the old </w:t>
      </w:r>
      <w:r>
        <w:rPr>
          <w:rFonts w:ascii="arial" w:eastAsia="arial" w:hAnsi="arial" w:cs="arial"/>
          <w:i/>
          <w:color w:val="000000"/>
          <w:sz w:val="20"/>
          <w:lang w:val="en-US" w:eastAsia="en-US" w:bidi="ar-SA"/>
        </w:rPr>
        <w:t>Land Clauses Act</w:t>
      </w:r>
      <w:r>
        <w:rPr>
          <w:rFonts w:ascii="arial" w:eastAsia="arial" w:hAnsi="arial" w:cs="arial"/>
          <w:color w:val="000000"/>
          <w:sz w:val="20"/>
          <w:lang w:val="en-US" w:eastAsia="en-US" w:bidi="ar-SA"/>
        </w:rPr>
        <w:t xml:space="preserve"> renamed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by the statute revision commissioner in 1979, but founded in U.K. enactments in the mid 1800's.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state of the law prompted Lambert J.A., in </w:t>
      </w:r>
      <w:r>
        <w:rPr>
          <w:rFonts w:ascii="arial" w:eastAsia="arial" w:hAnsi="arial" w:cs="arial"/>
          <w:i/>
          <w:color w:val="000000"/>
          <w:sz w:val="20"/>
          <w:lang w:val="en-US" w:eastAsia="en-US" w:bidi="ar-SA"/>
        </w:rPr>
        <w:t>Tenner</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(1982) 34 B.C.L.R. 285</w:t>
        </w:r>
      </w:hyperlink>
      <w:r>
        <w:rPr>
          <w:rFonts w:ascii="arial" w:eastAsia="arial" w:hAnsi="arial" w:cs="arial"/>
          <w:color w:val="000000"/>
          <w:sz w:val="20"/>
          <w:lang w:val="en-US" w:eastAsia="en-US" w:bidi="ar-SA"/>
        </w:rPr>
        <w:t xml:space="preserve"> to opine that it is "... a commentary on the state of the law in the field of expropriation in British Columbia that the plaintiff's rights to compensation in this cased are determined by such an ancient and imperfect enactment.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New legislation was not precipitously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January 27, 1961 the Clyne Royal Commission was established to review the state of the law in B.C. Following the Clyne Royal Commission and the 1968 Ontario Royal Commission inquiring into civil rights (the McRuer commission) there was the 1971 Law Reform Commission Report. A draft of the proposed legislation was circulated by British Columbia in a "green paper" in 1982. On April 28, 1987 the Attorney General introduced Bill 22,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which received Royal Assent June 26, 1987. See </w:t>
      </w:r>
      <w:r>
        <w:rPr>
          <w:rFonts w:ascii="arial" w:eastAsia="arial" w:hAnsi="arial" w:cs="arial"/>
          <w:i/>
          <w:color w:val="000000"/>
          <w:sz w:val="20"/>
          <w:lang w:val="en-US" w:eastAsia="en-US" w:bidi="ar-SA"/>
        </w:rPr>
        <w:t>The Law of Expropriation and Compensation in Canada</w:t>
      </w:r>
      <w:r>
        <w:rPr>
          <w:rFonts w:ascii="arial" w:eastAsia="arial" w:hAnsi="arial" w:cs="arial"/>
          <w:color w:val="000000"/>
          <w:sz w:val="20"/>
          <w:lang w:val="en-US" w:eastAsia="en-US" w:bidi="ar-SA"/>
        </w:rPr>
        <w:t>, Todd, Eric C.E., 2nd Edition, Carswell,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current Act, like Bill 22, provides for a pre-expropriation inquiry (s. 11-18), approval processes (s. 4, 5, 18), notice of expropriation (s. 6), acquisition procedures, registration (s. 23, 24), advance payment (s. 20), compensation (s. 29-48) and costs (s. 48). Under Bill 22 the Expropriation Compensation Board was created which had original jurisdiction to deal with compensation claims. In 2005, the Expropriation Compensation Board was abolished and originating jurisdiction in expropriation actions conferred on this court: </w:t>
      </w:r>
      <w:r>
        <w:rPr>
          <w:rFonts w:ascii="arial" w:eastAsia="arial" w:hAnsi="arial" w:cs="arial"/>
          <w:i/>
          <w:color w:val="000000"/>
          <w:sz w:val="20"/>
          <w:lang w:val="en-US" w:eastAsia="en-US" w:bidi="ar-SA"/>
        </w:rPr>
        <w:t>Expropriation Amendment Act, 2004</w:t>
      </w:r>
      <w:r>
        <w:rPr>
          <w:rFonts w:ascii="arial" w:eastAsia="arial" w:hAnsi="arial" w:cs="arial"/>
          <w:color w:val="000000"/>
          <w:sz w:val="20"/>
          <w:lang w:val="en-US" w:eastAsia="en-US" w:bidi="ar-SA"/>
        </w:rPr>
        <w:t>, S.B.C. 2004, c. 61, 97/2005: Expropriation Compensation Board Transitional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Section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Amendments to paragraphs 8A-8F plead excessive expropriation and that the expropriation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void. These are related to the amendments to paragraphs 39-47, paragraphs 60-61 and some of the amendments to the prayer for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GVTA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GVTA opposes the making of the amendments. GVTA argues that the crux of the amendments is fundamentally a challenge to the validity of the Expropriation almost four years after the Expropriation. The proposed amendments allege that all or a portion of the taking is invalid because of GVTA's unlawful or bad faith actions in carrying out the expropriation. Thus, based on these allegedly unlawful actions Camp seeks to have the property and/or a portion thereof conveyed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GVTA says that the validity of the Expropriation can only be challenged in limited circumstances. Section 51 of the Act, it says, constitutes a code and severely limits proceedings to challenge the validity of a taking. Section 51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proceedings to challenge the validity of an expropriation must not be brought after land vests under section 23.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subsection (1), an application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must be brought within 30 days after the order or determination subject to review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the expropriation notice was filed at the land title office on June 21, 2005, and on June 23, 2005 copies of the expropriation notice, and the certificate of approval of expropriation, were delivered to Camp. On June 28, 2005 GVTA delivered to Camp an advance payment of $7,650,000. Title to the land vested in the GVTA on filing of the vesting notice, on or about June 29, 2005. Later the advance payment was increased to approximately $9,000,000. This proceeding was commenced in 2006, claiming compensation for the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Expropriation followed months of correspondence and discussion between the parties and their solicitors regarding whether there should be a whole or partial taking. Evidence regarding the discussions between GVTA and Camp regarding the lands at issue, and the amount of the proposed expropriation, is contained at pages 13-62 of the Affidavit of Rick Bosa, sworn February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GVTA relies on </w:t>
      </w:r>
      <w:r>
        <w:rPr>
          <w:rFonts w:ascii="arial" w:eastAsia="arial" w:hAnsi="arial" w:cs="arial"/>
          <w:i/>
          <w:color w:val="000000"/>
          <w:sz w:val="20"/>
          <w:lang w:val="en-US" w:eastAsia="en-US" w:bidi="ar-SA"/>
        </w:rPr>
        <w:t>Rella v. Village of Montrose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2006 BCSC 1383</w:t>
        </w:r>
      </w:hyperlink>
      <w:r>
        <w:rPr>
          <w:rFonts w:ascii="arial" w:eastAsia="arial" w:hAnsi="arial" w:cs="arial"/>
          <w:color w:val="000000"/>
          <w:sz w:val="20"/>
          <w:lang w:val="en-US" w:eastAsia="en-US" w:bidi="ar-SA"/>
        </w:rPr>
        <w:t xml:space="preserve"> at para. 52, 54-55, </w:t>
      </w:r>
      <w:r>
        <w:rPr>
          <w:rFonts w:ascii="arial" w:eastAsia="arial" w:hAnsi="arial" w:cs="arial"/>
          <w:i/>
          <w:color w:val="000000"/>
          <w:sz w:val="20"/>
          <w:lang w:val="en-US" w:eastAsia="en-US" w:bidi="ar-SA"/>
        </w:rPr>
        <w:t>Seaside Acres Ltd. v. Pacific Coast Energy Corporation et al.</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[1994] B.C.J. No. 217</w:t>
        </w:r>
      </w:hyperlink>
      <w:r>
        <w:rPr>
          <w:rFonts w:ascii="arial" w:eastAsia="arial" w:hAnsi="arial" w:cs="arial"/>
          <w:color w:val="000000"/>
          <w:sz w:val="20"/>
          <w:lang w:val="en-US" w:eastAsia="en-US" w:bidi="ar-SA"/>
        </w:rPr>
        <w:t xml:space="preserve">, 1994 CanLII 2503 (B.C.C.A.), </w:t>
      </w:r>
      <w:r>
        <w:rPr>
          <w:rFonts w:ascii="arial" w:eastAsia="arial" w:hAnsi="arial" w:cs="arial"/>
          <w:i/>
          <w:color w:val="000000"/>
          <w:sz w:val="20"/>
          <w:lang w:val="en-US" w:eastAsia="en-US" w:bidi="ar-SA"/>
        </w:rPr>
        <w:t>Roadmaster Auto Centre Ltd. v. Burnaby (District)</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B.C.J. No. 2959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Camp says that because the notice of expropriation was erroneous, the expropriation is a nullity, relying on the decision of the Court of Appeal in </w:t>
      </w:r>
      <w:r>
        <w:rPr>
          <w:rFonts w:ascii="arial" w:eastAsia="arial" w:hAnsi="arial" w:cs="arial"/>
          <w:i/>
          <w:color w:val="000000"/>
          <w:sz w:val="20"/>
          <w:lang w:val="en-US" w:eastAsia="en-US" w:bidi="ar-SA"/>
        </w:rPr>
        <w:t>Gray v. Langley (Township)</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(1986) 9 B.C.L.R. (2d) 1</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[1987] 2 W.W.R. 157</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34 M.P.L.R. 183</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34 D.L.R. (4th) 270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Section 51(1) provides that legal proceedings to challenge the "validity" of an expropriation "must" not be brought after the land vests. The section, then, is directed at proceedings that challenge the validity of an expropriation. The provision is mandatory on its face. It says that such proceedings must not be brought after vesting. GVTA says that the plain meaning of this provision is that the amendments proposed by GVTA, alleging that the Expropriation is invalid, cannot be brought for the first time now, some 4 years after the vesting, as they raise an issue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Rella v. Village of Montrose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2006 BCSC 1383</w:t>
        </w:r>
      </w:hyperlink>
      <w:r>
        <w:rPr>
          <w:rFonts w:ascii="arial" w:eastAsia="arial" w:hAnsi="arial" w:cs="arial"/>
          <w:color w:val="000000"/>
          <w:sz w:val="20"/>
          <w:lang w:val="en-US" w:eastAsia="en-US" w:bidi="ar-SA"/>
        </w:rPr>
        <w:t xml:space="preserve"> the petitioners sought relief pursuant to the </w:t>
      </w:r>
      <w:r>
        <w:rPr>
          <w:rFonts w:ascii="arial" w:eastAsia="arial" w:hAnsi="arial" w:cs="arial"/>
          <w:i/>
          <w:color w:val="000000"/>
          <w:sz w:val="20"/>
          <w:lang w:val="en-US" w:eastAsia="en-US" w:bidi="ar-SA"/>
        </w:rPr>
        <w:t>Judicial Review Procedures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for the expropriation of a portion of their residential property. It was alleged that there were various failings of the expropriating authority including failing to post a notice of expropriation, defective publication of the notice, failing to hold an inquiry, a mis-description in the purpose of the expropriation, too much land was taken, and the respondent was acting in bad faith. None of those allegations were made out, however, Holmes J. found that since the land had vested legal proceedings could not be brought: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authorities are clear and consistent to the effect that the limitation in s. 51(2)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made expressly subject to s. 51(1) which governs. I therefore find the present proceeding statute barred by operation of s. 51(1)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Seaside Acres Ltd. v. Pacific Coast Energy Corp.</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[1992] B.C.J. No. 2923</w:t>
        </w:r>
      </w:hyperlink>
      <w:r>
        <w:rPr>
          <w:rFonts w:ascii="arial" w:eastAsia="arial" w:hAnsi="arial" w:cs="arial"/>
          <w:color w:val="000000"/>
          <w:sz w:val="20"/>
          <w:lang w:val="en-US" w:eastAsia="en-US" w:bidi="ar-SA"/>
        </w:rPr>
        <w:t xml:space="preserve"> (S.C.), aff'd </w:t>
      </w:r>
      <w:hyperlink r:id="rId169" w:history="1">
        <w:r>
          <w:rPr>
            <w:rFonts w:ascii="arial" w:eastAsia="arial" w:hAnsi="arial" w:cs="arial"/>
            <w:i/>
            <w:color w:val="0077CC"/>
            <w:sz w:val="20"/>
            <w:u w:val="single"/>
            <w:shd w:val="clear" w:color="auto" w:fill="FFFFFF"/>
            <w:lang w:val="en-US" w:eastAsia="en-US" w:bidi="ar-SA"/>
          </w:rPr>
          <w:t>(1994), 87 B.C.L.R. (2d) 229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Roadmaster Auto Centre Ltd. v. Burnaby (District)</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B.C.J. No. 2959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Erickson v. Kamloops (City)</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[1993] B.C.J. No. 1239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White v. Prince George (City)</w:t>
      </w:r>
      <w:r>
        <w:rPr>
          <w:rFonts w:ascii="arial" w:eastAsia="arial" w:hAnsi="arial" w:cs="arial"/>
          <w:color w:val="000000"/>
          <w:sz w:val="20"/>
          <w:lang w:val="en-US" w:eastAsia="en-US" w:bidi="ar-SA"/>
        </w:rPr>
        <w:t xml:space="preserve"> (1993), 50 L.C.R. 260 (B.C.E.C.B.); </w:t>
      </w:r>
      <w:r>
        <w:rPr>
          <w:rFonts w:ascii="arial" w:eastAsia="arial" w:hAnsi="arial" w:cs="arial"/>
          <w:i/>
          <w:color w:val="000000"/>
          <w:sz w:val="20"/>
          <w:lang w:val="en-US" w:eastAsia="en-US" w:bidi="ar-SA"/>
        </w:rPr>
        <w:t>Cejka v. Cariboo (Regional District)</w:t>
      </w:r>
      <w:r>
        <w:rPr>
          <w:rFonts w:ascii="arial" w:eastAsia="arial" w:hAnsi="arial" w:cs="arial"/>
          <w:color w:val="000000"/>
          <w:sz w:val="20"/>
          <w:lang w:val="en-US" w:eastAsia="en-US" w:bidi="ar-SA"/>
        </w:rPr>
        <w:t xml:space="preserve"> (1995), 56 L.C.R. 131 (B.C.E.C.B.); </w:t>
      </w:r>
      <w:r>
        <w:rPr>
          <w:rFonts w:ascii="arial" w:eastAsia="arial" w:hAnsi="arial" w:cs="arial"/>
          <w:i/>
          <w:color w:val="000000"/>
          <w:sz w:val="20"/>
          <w:lang w:val="en-US" w:eastAsia="en-US" w:bidi="ar-SA"/>
        </w:rPr>
        <w:t>Whitechapel Estates Ltd. v. British Columbia (Ministry of Transportation and Highways)</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(1998), 57 B.C.L.R. (3d) 130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GVTA also relies on the decision of the Court of Appeal in </w:t>
      </w:r>
      <w:r>
        <w:rPr>
          <w:rFonts w:ascii="arial" w:eastAsia="arial" w:hAnsi="arial" w:cs="arial"/>
          <w:i/>
          <w:color w:val="000000"/>
          <w:sz w:val="20"/>
          <w:lang w:val="en-US" w:eastAsia="en-US" w:bidi="ar-SA"/>
        </w:rPr>
        <w:t>Seaside Acres Ltd. v. Pacific Coast Energy Corporation et al.</w:t>
      </w:r>
      <w:r>
        <w:rPr>
          <w:rFonts w:ascii="arial" w:eastAsia="arial" w:hAnsi="arial" w:cs="arial"/>
          <w:color w:val="000000"/>
          <w:sz w:val="20"/>
          <w:lang w:val="en-US" w:eastAsia="en-US" w:bidi="ar-SA"/>
        </w:rPr>
        <w:t xml:space="preserve">, 1994 CanLII 2503 (B.C.C.A.), </w:t>
      </w:r>
      <w:hyperlink r:id="rId169" w:history="1">
        <w:r>
          <w:rPr>
            <w:rFonts w:ascii="arial" w:eastAsia="arial" w:hAnsi="arial" w:cs="arial"/>
            <w:i/>
            <w:color w:val="0077CC"/>
            <w:sz w:val="20"/>
            <w:u w:val="single"/>
            <w:shd w:val="clear" w:color="auto" w:fill="FFFFFF"/>
            <w:lang w:val="en-US" w:eastAsia="en-US" w:bidi="ar-SA"/>
          </w:rPr>
          <w:t>[1994] B.C.J. No. 217</w:t>
        </w:r>
      </w:hyperlink>
      <w:r>
        <w:rPr>
          <w:rFonts w:ascii="arial" w:eastAsia="arial" w:hAnsi="arial" w:cs="arial"/>
          <w:color w:val="000000"/>
          <w:sz w:val="20"/>
          <w:lang w:val="en-US" w:eastAsia="en-US" w:bidi="ar-SA"/>
        </w:rPr>
        <w:t xml:space="preserve"> (B.C.C.A.). In that case, however, it was not disputed that if the process called for by the Act had been validly complied with, </w:t>
      </w:r>
      <w:r>
        <w:rPr>
          <w:rFonts w:ascii="arial" w:eastAsia="arial" w:hAnsi="arial" w:cs="arial"/>
          <w:i/>
          <w:color w:val="000000"/>
          <w:sz w:val="20"/>
          <w:lang w:val="en-US" w:eastAsia="en-US" w:bidi="ar-SA"/>
        </w:rPr>
        <w:t>Seaside's</w:t>
      </w:r>
      <w:r>
        <w:rPr>
          <w:rFonts w:ascii="arial" w:eastAsia="arial" w:hAnsi="arial" w:cs="arial"/>
          <w:color w:val="000000"/>
          <w:sz w:val="20"/>
          <w:lang w:val="en-US" w:eastAsia="en-US" w:bidi="ar-SA"/>
        </w:rPr>
        <w:t xml:space="preserve"> petition was out of time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Roadmaster Auto Centre Ltd. v. Burnaby (District)</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[1992] B.C.J. No. 2959</w:t>
        </w:r>
      </w:hyperlink>
      <w:r>
        <w:rPr>
          <w:rFonts w:ascii="arial" w:eastAsia="arial" w:hAnsi="arial" w:cs="arial"/>
          <w:color w:val="000000"/>
          <w:sz w:val="20"/>
          <w:lang w:val="en-US" w:eastAsia="en-US" w:bidi="ar-SA"/>
        </w:rPr>
        <w:t>, a tenant sought a declaration that it held a valid and subsisting lease, seeking to set aside a vesting order. Blair J. dismissed the application:</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application for relief made by the petitioner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was brought after the Vesting Notice was filed and hence, was out of time pursuant to s. 50(1) [now s. 51(1)]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Similarly I find that the application for relief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was brought more than thirty days after the 26 May 1992 decision and hence, was out of time pursuant to Section 50(2) [now s. 51(2)] of the same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the petitioner also seeks declaratory relief pursuant to Supreme Court Rule 10 outside the scope of both the </w:t>
      </w:r>
      <w:r>
        <w:rPr>
          <w:rFonts w:ascii="arial" w:eastAsia="arial" w:hAnsi="arial" w:cs="arial"/>
          <w:i/>
          <w:color w:val="000000"/>
          <w:sz w:val="20"/>
          <w:lang w:val="en-US" w:eastAsia="en-US" w:bidi="ar-SA"/>
        </w:rPr>
        <w:t>Expropriation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Judicial Review Procedure Acts</w:t>
      </w:r>
      <w:r>
        <w:rPr>
          <w:rFonts w:ascii="arial" w:eastAsia="arial" w:hAnsi="arial" w:cs="arial"/>
          <w:color w:val="000000"/>
          <w:sz w:val="20"/>
          <w:lang w:val="en-US" w:eastAsia="en-US" w:bidi="ar-SA"/>
        </w:rPr>
        <w:t xml:space="preserve">. I deny that application; to grant it would be to ignore the provisions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which are clearly applicable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GVTA also argues that Camp's challenge is not permitted under the Act or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in that the question of whether an expropriating authority's powers has been exercised in accordance with statutory requirements is not justiciable: see </w:t>
      </w:r>
      <w:r>
        <w:rPr>
          <w:rFonts w:ascii="arial" w:eastAsia="arial" w:hAnsi="arial" w:cs="arial"/>
          <w:i/>
          <w:color w:val="000000"/>
          <w:sz w:val="20"/>
          <w:lang w:val="en-US" w:eastAsia="en-US" w:bidi="ar-SA"/>
        </w:rPr>
        <w:t>B. Johnson &amp; Co. (Builders), Ltd. v. Minister of Health</w:t>
      </w:r>
      <w:r>
        <w:rPr>
          <w:rFonts w:ascii="arial" w:eastAsia="arial" w:hAnsi="arial" w:cs="arial"/>
          <w:color w:val="000000"/>
          <w:sz w:val="20"/>
          <w:lang w:val="en-US" w:eastAsia="en-US" w:bidi="ar-SA"/>
        </w:rPr>
        <w:t xml:space="preserve">, [1947] 2 All E.R. 395, followed in </w:t>
      </w:r>
      <w:r>
        <w:rPr>
          <w:rFonts w:ascii="arial" w:eastAsia="arial" w:hAnsi="arial" w:cs="arial"/>
          <w:i/>
          <w:color w:val="000000"/>
          <w:sz w:val="20"/>
          <w:lang w:val="en-US" w:eastAsia="en-US" w:bidi="ar-SA"/>
        </w:rPr>
        <w:t>Pacific Forest Products Limited v. British Columbia (Minister of Transportation and Highways)</w:t>
      </w:r>
      <w:r>
        <w:rPr>
          <w:rFonts w:ascii="arial" w:eastAsia="arial" w:hAnsi="arial" w:cs="arial"/>
          <w:color w:val="000000"/>
          <w:sz w:val="20"/>
          <w:lang w:val="en-US" w:eastAsia="en-US" w:bidi="ar-SA"/>
        </w:rPr>
        <w:t xml:space="preserve"> (1994), 53 L.C.R. 198 at p.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Camp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Camp argues that since the proposed amended pleading alleges that the notice is a nullity, there has been no expropriation. In places the arguments suggests that if the taking was not nullity in total there is partial invalidity. It is a nullity due to a material misrepresentation by the GVTA as to the true purpose of the expropriation. Thus the approval certificate and the vesting notice are also nullities: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the invalidity of the Notice results in the approval certificate and the vesting notice being nullities. The Property did not lawfully vest in the Authority's name and legal title to the Property must be returned to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is of importance because:</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Camp alleges that the Notice misstated the true purpose of the Expropriation and the Authority knowingly expropriated more land than it actually required for the stated purpose of the Expropriation. In particular:</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Authority's true purpose for the Expropriation included using and developing other works and facilities on the Property in addition to the Bridge.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works and facilities did not comprise a "linear development" under the Expropriation Act.</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did not require all of the land it expropriated for the purpose of constructing the Bridge.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true</w:t>
      </w:r>
      <w:r>
        <w:rPr>
          <w:rFonts w:ascii="arial" w:eastAsia="arial" w:hAnsi="arial" w:cs="arial"/>
          <w:color w:val="000000"/>
          <w:sz w:val="20"/>
          <w:lang w:val="en-US" w:eastAsia="en-US" w:bidi="ar-SA"/>
        </w:rPr>
        <w:t xml:space="preserve"> purpose of the expropriation must be stated on the expropriation notice or sections 4 and 6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have not been complied with and purported any expropriation based an invalid expropriation notice is void because: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of a valid and truthful expropriation notice is a condition precedent to a valid expropriation (per VanKam).</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expropriation can only be approved by an approving authority if it has the correct, actual information to base its decision to approve the expropriation.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valid approval certificate cannot be given (because the expropriation notice the decision was purportedly made on was invalid) then there can be no valid vesting notice.</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valid vesting notice then the Property was not properly vested in the name of the Authority.</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if sections 4 and/or 6 have not been complied with, then the Authority has not expropriated in accordance with the provisions of the Expropriation Act, which means that it was not properly empowered to expropriate at all pursuant to the South Coast British Columbia Transportation Authority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arguing that the expropriation is a nullity, Camp relies on such cases as </w:t>
      </w:r>
      <w:r>
        <w:rPr>
          <w:rFonts w:ascii="arial" w:eastAsia="arial" w:hAnsi="arial" w:cs="arial"/>
          <w:i/>
          <w:color w:val="000000"/>
          <w:sz w:val="20"/>
          <w:lang w:val="en-US" w:eastAsia="en-US" w:bidi="ar-SA"/>
        </w:rPr>
        <w:t>Thorcon Enterprises Ltd. v. West Vancouver (District)</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[1988] B.C.J. No. 323</w:t>
        </w:r>
      </w:hyperlink>
      <w:r>
        <w:rPr>
          <w:rFonts w:ascii="arial" w:eastAsia="arial" w:hAnsi="arial" w:cs="arial"/>
          <w:color w:val="000000"/>
          <w:sz w:val="20"/>
          <w:lang w:val="en-US" w:eastAsia="en-US" w:bidi="ar-SA"/>
        </w:rPr>
        <w:t xml:space="preserve"> (S.C.), where it was held that expropriation notice must show on its face sufficient and accurate detail to allow the owner to decide whether an inquiry should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Additionally, Camp says there must be strict compliance with enabling legislation based on </w:t>
      </w:r>
      <w:r>
        <w:rPr>
          <w:rFonts w:ascii="arial" w:eastAsia="arial" w:hAnsi="arial" w:cs="arial"/>
          <w:i/>
          <w:color w:val="000000"/>
          <w:sz w:val="20"/>
          <w:lang w:val="en-US" w:eastAsia="en-US" w:bidi="ar-SA"/>
        </w:rPr>
        <w:t>Costello v. Calgary (City)</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[1983] S.C.J. No.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Kam Freightways Ltd. v. Kelowna (City)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BCCA 287</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B.C.J. No. 1026</w:t>
        </w:r>
      </w:hyperlink>
      <w:r>
        <w:rPr>
          <w:rFonts w:ascii="arial" w:eastAsia="arial" w:hAnsi="arial" w:cs="arial"/>
          <w:color w:val="000000"/>
          <w:sz w:val="20"/>
          <w:lang w:val="en-US" w:eastAsia="en-US" w:bidi="ar-SA"/>
        </w:rPr>
        <w:t xml:space="preserve"> (C.A.) and the failure to state exact purposes as in </w:t>
      </w:r>
      <w:r>
        <w:rPr>
          <w:rFonts w:ascii="arial" w:eastAsia="arial" w:hAnsi="arial" w:cs="arial"/>
          <w:i/>
          <w:color w:val="000000"/>
          <w:sz w:val="20"/>
          <w:lang w:val="en-US" w:eastAsia="en-US" w:bidi="ar-SA"/>
        </w:rPr>
        <w:t>Purchase v. Terrace (City)</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[1995] B.C.J. No. 247</w:t>
        </w:r>
      </w:hyperlink>
      <w:r>
        <w:rPr>
          <w:rFonts w:ascii="arial" w:eastAsia="arial" w:hAnsi="arial" w:cs="arial"/>
          <w:color w:val="000000"/>
          <w:sz w:val="20"/>
          <w:lang w:val="en-US" w:eastAsia="en-US" w:bidi="ar-SA"/>
        </w:rPr>
        <w:t xml:space="preserve"> (S.C.), can give rise to a finding that such an expropriation is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Gray v. Langley (Township)</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[1986] B.C.J. No. 1215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Rose v. Grand Bank (Town)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[1990] N.J. No. 121</w:t>
        </w:r>
      </w:hyperlink>
      <w:r>
        <w:rPr>
          <w:rFonts w:ascii="arial" w:eastAsia="arial" w:hAnsi="arial" w:cs="arial"/>
          <w:color w:val="000000"/>
          <w:sz w:val="20"/>
          <w:lang w:val="en-US" w:eastAsia="en-US" w:bidi="ar-SA"/>
        </w:rPr>
        <w:t xml:space="preserve"> (SCN-TD), </w:t>
      </w:r>
      <w:hyperlink r:id="rId179" w:history="1">
        <w:r>
          <w:rPr>
            <w:rFonts w:ascii="arial" w:eastAsia="arial" w:hAnsi="arial" w:cs="arial"/>
            <w:i/>
            <w:color w:val="0077CC"/>
            <w:sz w:val="20"/>
            <w:u w:val="single"/>
            <w:shd w:val="clear" w:color="auto" w:fill="FFFFFF"/>
            <w:lang w:val="en-US" w:eastAsia="en-US" w:bidi="ar-SA"/>
          </w:rPr>
          <w:t>49 M.P.L.R.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Camp argues further that as the taking is a nullity Camp, the actions of GVTA are tortuous and it is entitled to various remedies in tort for the wrongful conduct of the GVTA, including reconveyance of the property, damages, disgorgement, an accounting of the benefits received by the GVTA etc.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Analysis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Section 51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error that Camp asserts is that the Notice of Expropriation does not state the true purpose of the taking. The Notice of Expropriation is reproduced in the chambers brief at Exhibit A to the Affidavit of R. Bosa sworn February 19, 2009. The notice contains the following:</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Greater Vancouver Transportation Authority, 1600-4720 Kingsway, Burnaby, British Columbia V5H 4N2, Telephone Number: (604) 453-4500 (the "Expropriating Authority") intends to expropriate land or interest in land with respect of which Camp Developments Corporation is the registered owner, the particulars of which are a full taking in fee simple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156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Parcel Identifier:</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005-905-851</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Description:</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Parcel "H" (Plan with fee deposited 15901F) District Lot 280, Group I, New Westminster District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Civic Address:</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156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Parcel identifier:</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004-346-327</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Description:</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Parcel "D" (Plan in absolute fees parcels book volume 12, folio 752 No. 6903F) District Lot 281, Group 1, Except: Firstly: that portion shown coloured red on plan with fee deposited 14957F.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Secondly Parcel "B" (Reference Plan 1963)</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Thirdly: Two portions 4.06 acres and 2.85 acres more or less as shown on reference plan 1963, New Westminster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Civic Address: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10951 Hazelwood Street, Maple Ridge, 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Parcel Identifier:</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000-508-926</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Legal Description:</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Parcel "C" (Plan in Fee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deposited 15901F),</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Except: part subdivided by plan 35482, District Lot 281, Group 1, New Westminster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Civic Address: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19967 Wharf Street, Maple Ridge, 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interest in the land intended to be expropriated is a fee simple, full taking.</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for which the interest in the land is required is the Golden Ears Bridge. Project Transportation system, which constitutes a linear development.</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Approving Authority with respect to this expropriation is the Greater Vancouver Transportation Authority pursuant to Section 1(1)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which is charged with the administration of the </w:t>
      </w:r>
      <w:r>
        <w:rPr>
          <w:rFonts w:ascii="arial" w:eastAsia="arial" w:hAnsi="arial" w:cs="arial"/>
          <w:i/>
          <w:color w:val="000000"/>
          <w:sz w:val="20"/>
          <w:lang w:val="en-US" w:eastAsia="en-US" w:bidi="ar-SA"/>
        </w:rPr>
        <w:t>Greater Vancouver Transportation Act</w:t>
      </w:r>
      <w:r>
        <w:rPr>
          <w:rFonts w:ascii="arial" w:eastAsia="arial" w:hAnsi="arial" w:cs="arial"/>
          <w:color w:val="000000"/>
          <w:sz w:val="20"/>
          <w:lang w:val="en-US" w:eastAsia="en-US" w:bidi="ar-SA"/>
        </w:rPr>
        <w:t xml:space="preserve"> under which the Expropriating Authority is empowered to expropriate.</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owner is eligible under Section 10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to request an inquiry, the Minister of Transportation and the Expropriating Authority must be served with a Notice of Request for Inquiry (Form 2), a copy of which is attached hereto, within thirty (30) days after the date this Expropriation Notice is served on the owner. The owner is NOT entitled to request an inquiry.</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Permitted encumbrances are as set out in the letter to the Registrar of Land Titles.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Camp says the Expropriation is a nullity because the notice does not disclose the true purpose as only part of the lands was required for the Golden Ears Bridge Project Transportation System. It is acknowledged that the bridge is now built on the lands subject to the Expropriation, although there are excess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Thorcon Enterprises</w:t>
      </w:r>
      <w:r>
        <w:rPr>
          <w:rFonts w:ascii="arial" w:eastAsia="arial" w:hAnsi="arial" w:cs="arial"/>
          <w:color w:val="000000"/>
          <w:sz w:val="20"/>
          <w:lang w:val="en-US" w:eastAsia="en-US" w:bidi="ar-SA"/>
        </w:rPr>
        <w:t xml:space="preserve">, Spencer J. held that in order for an inquiry officer to be able to hold an informative hearing it is necessary that the purpose of the expropriation be known. In that case no expropriation had taken place, as there was no notice of expropriation. The stated purpose of the bylaw was said only to be "or pleasure, recreation, or community use of the public". Although the title of the bylaw also referred to the "Argyle acquisition policy" the court could not give content to that phrase in the title to the bylaw. The court found that the bylaw, enacted a few days before the new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came into force, had not expropriated land in accordance with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and that the bylaw was too vague and uncertain. This is a case of first impression referencing the new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Camp relies on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for the distinction between void and voidable bylaws, specifically that a statute enacting a formality attached to the exercise of a grant of authority by by-law must be examined in each instance to determine whether it is mandatory or directory. In general, where legislation interferes with private rights, conditions precedent to the exercise of statutory powers must be strictly complied with. While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stands for this general proposition, it specifically dealt with a matter where the claimant was not given notice of the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Van Kam</w:t>
      </w:r>
      <w:r>
        <w:rPr>
          <w:rFonts w:ascii="arial" w:eastAsia="arial" w:hAnsi="arial" w:cs="arial"/>
          <w:color w:val="000000"/>
          <w:sz w:val="20"/>
          <w:lang w:val="en-US" w:eastAsia="en-US" w:bidi="ar-SA"/>
        </w:rPr>
        <w:t xml:space="preserve"> is another expropriation case relating to a failure to give notice, this time to an unrecorded leaseholder who was held to be an owner within the meaning of the Act. </w:t>
      </w:r>
      <w:r>
        <w:rPr>
          <w:rFonts w:ascii="arial" w:eastAsia="arial" w:hAnsi="arial" w:cs="arial"/>
          <w:i/>
          <w:color w:val="000000"/>
          <w:sz w:val="20"/>
          <w:lang w:val="en-US" w:eastAsia="en-US" w:bidi="ar-SA"/>
        </w:rPr>
        <w:t>Van Kam</w:t>
      </w:r>
      <w:r>
        <w:rPr>
          <w:rFonts w:ascii="arial" w:eastAsia="arial" w:hAnsi="arial" w:cs="arial"/>
          <w:color w:val="000000"/>
          <w:sz w:val="20"/>
          <w:lang w:val="en-US" w:eastAsia="en-US" w:bidi="ar-SA"/>
        </w:rPr>
        <w:t xml:space="preserve"> follows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however, Madam Justice Huddart, speaking for the Court, analyses the legislation and finds that "... the only conditions precedent to an expropriation are set down in s. 4 ..." which are service of an expropriation notice and approval of the approving authority. Service of an expropriation notice by section 6(1)(a) is restricted to an owner whose land is expropriated, and an owner whose interest is recorded in the land title office. Thus, although the unrecorded leaseholder had no notice of the expropriation, the expropriation was valid as the only condition precedents were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Purchase,</w:t>
      </w:r>
      <w:r>
        <w:rPr>
          <w:rFonts w:ascii="arial" w:eastAsia="arial" w:hAnsi="arial" w:cs="arial"/>
          <w:color w:val="000000"/>
          <w:sz w:val="20"/>
          <w:lang w:val="en-US" w:eastAsia="en-US" w:bidi="ar-SA"/>
        </w:rPr>
        <w:t xml:space="preserve"> the owner sought a declaration that the actions of the city had effected an expropriation, and sought to mandamus the respondent to expropriate its lands. The petition was dismissed, but during the course of her decision Madam Justice Dorgan stated that there "... are no common law principles in the law of expropriation ..." approving the statement of Lord Pearson in </w:t>
      </w:r>
      <w:r>
        <w:rPr>
          <w:rFonts w:ascii="arial" w:eastAsia="arial" w:hAnsi="arial" w:cs="arial"/>
          <w:i/>
          <w:color w:val="000000"/>
          <w:sz w:val="20"/>
          <w:lang w:val="en-US" w:eastAsia="en-US" w:bidi="ar-SA"/>
        </w:rPr>
        <w:t>Rugby Water Board v. Shaw Fox</w:t>
      </w:r>
      <w:r>
        <w:rPr>
          <w:rFonts w:ascii="arial" w:eastAsia="arial" w:hAnsi="arial" w:cs="arial"/>
          <w:color w:val="000000"/>
          <w:sz w:val="20"/>
          <w:lang w:val="en-US" w:eastAsia="en-US" w:bidi="ar-SA"/>
        </w:rPr>
        <w:t xml:space="preserve">, [1972] 2 W.L.R. 757 at 763 that "... compulsory acquisition and compensation are entirely creatures of statute". Although in passing she stated an expropriation bylaw "... must be found to give proper and clear notice of what is to be expropriated, and must state its exact purposes", that statement is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as for other reasons she found mandamus should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parties argued at length the meaning of the various judgments in </w:t>
      </w:r>
      <w:r>
        <w:rPr>
          <w:rFonts w:ascii="arial" w:eastAsia="arial" w:hAnsi="arial" w:cs="arial"/>
          <w:i/>
          <w:color w:val="000000"/>
          <w:sz w:val="20"/>
          <w:lang w:val="en-US" w:eastAsia="en-US" w:bidi="ar-SA"/>
        </w:rPr>
        <w:t>Gray</w:t>
      </w:r>
      <w:r>
        <w:rPr>
          <w:rFonts w:ascii="arial" w:eastAsia="arial" w:hAnsi="arial" w:cs="arial"/>
          <w:color w:val="000000"/>
          <w:sz w:val="20"/>
          <w:lang w:val="en-US" w:eastAsia="en-US" w:bidi="ar-SA"/>
        </w:rPr>
        <w:t>, with differing positions on who was in the majority. Camp relied on the case for the proposition that the absence of notice of a tax sale is fatal, entitling the owner to set aside the sale, relying on the decision of Anderson J.A. GVTA on the other hand relied on the statement of McLachlin J.A., as she then was, who distinguished between statutes that made no provision regarding validity or finality, and those which did.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Where the statute does not contain provisions indicating that a sale is to be valid or conclusive notwithstanding failure to follow the prescribed steps, the rule is that the sale which follows such failure is a nullity: </w:t>
      </w:r>
      <w:r>
        <w:rPr>
          <w:rFonts w:ascii="arial" w:eastAsia="arial" w:hAnsi="arial" w:cs="arial"/>
          <w:i/>
          <w:color w:val="000000"/>
          <w:sz w:val="20"/>
          <w:lang w:val="en-US" w:eastAsia="en-US" w:bidi="ar-SA"/>
        </w:rPr>
        <w:t>O'Brien v. Cogswell</w:t>
      </w:r>
      <w:r>
        <w:rPr>
          <w:rFonts w:ascii="arial" w:eastAsia="arial" w:hAnsi="arial" w:cs="arial"/>
          <w:color w:val="000000"/>
          <w:sz w:val="20"/>
          <w:lang w:val="en-US" w:eastAsia="en-US" w:bidi="ar-SA"/>
        </w:rPr>
        <w:t xml:space="preserve"> (1889), 17 S.C.R. 420 at 424 [N.S.]; see also </w:t>
      </w:r>
      <w:r>
        <w:rPr>
          <w:rFonts w:ascii="arial" w:eastAsia="arial" w:hAnsi="arial" w:cs="arial"/>
          <w:i/>
          <w:color w:val="000000"/>
          <w:sz w:val="20"/>
          <w:lang w:val="en-US" w:eastAsia="en-US" w:bidi="ar-SA"/>
        </w:rPr>
        <w:t>Deverill v. Coe</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(1886), 11 O.R. 222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Dalziel v. Mallory</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(1888), 17 O.R. 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Gen. Trusts Corp. v. Maryfield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[1945] 3 W.W.R. 625</w:t>
        </w:r>
      </w:hyperlink>
      <w:r>
        <w:rPr>
          <w:rFonts w:ascii="arial" w:eastAsia="arial" w:hAnsi="arial" w:cs="arial"/>
          <w:color w:val="000000"/>
          <w:sz w:val="20"/>
          <w:lang w:val="en-US" w:eastAsia="en-US" w:bidi="ar-SA"/>
        </w:rPr>
        <w:t xml:space="preserve"> (Sask.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On the other hand, where the statute contains provisions which indicate that the title obtained by the tax purchaser will remain valid notwithstanding a failure to comply with requirements of the Act, the sale will not be declared a nullity. Such provisions may take different forms. Some may be curative provisions. Some, like s. 473, may set out particular situations where the taxpayer may ask to have the sale set aside. And some, like s. 475, establish limitations on when an action can be brought. The important point is that the presence of such provisions indicates the intention of the legislature that, in certain circumstances, the title of the tax purchaser shall be final notwithstanding defects of procedure. Where the statute discloses this intention, it is not open to the former landowner to say that there has been no valid sale and hence that such provisions do not apply. The very purpose of such provisions is to ensure that the sale stands notwithstanding omissions which might otherwise affect its 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An example of such a statute is found in </w:t>
      </w:r>
      <w:r>
        <w:rPr>
          <w:rFonts w:ascii="arial" w:eastAsia="arial" w:hAnsi="arial" w:cs="arial"/>
          <w:i/>
          <w:color w:val="000000"/>
          <w:sz w:val="20"/>
          <w:lang w:val="en-US" w:eastAsia="en-US" w:bidi="ar-SA"/>
        </w:rPr>
        <w:t>Langdon v. Holytrex Gold Mines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[1937] S.C.R. 334</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[1937] 2 D.L.R. 364</w:t>
        </w:r>
      </w:hyperlink>
      <w:r>
        <w:rPr>
          <w:rFonts w:ascii="arial" w:eastAsia="arial" w:hAnsi="arial" w:cs="arial"/>
          <w:color w:val="000000"/>
          <w:sz w:val="20"/>
          <w:lang w:val="en-US" w:eastAsia="en-US" w:bidi="ar-SA"/>
        </w:rPr>
        <w:t>. In that case, as in this, the municipality had failed to give the landowner the notice required by statute, and the land had been sold. In that case, too, as in this, the statute provided that after the expiry of the redemption period actions to recover the land were barred. The question, as in this case, was whether the sale or purported sale fell within the curative and limitation provisions of the Act. The Supreme Court of Canada held that they did, with the result that the taxpayer's action was barred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discussing the policy behind the provisions she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 am satisfied upon consideration of s. 473 and s. 475 that the intention of the legislature was to make tax sales final notwithstanding defects in procedure save for the specified exceptions. There are two stages. During the redemption period, under s. 473, there is a fairly broad right of challenge. After the redemption period, however, claims are restricted to compensation or indemnity; no claims with respect to the land itself or title can be maintained.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 am confirmed in this view by other considerations. First, this reading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is consistent with the land registry system in place in British Columbia. The keystone of that system is the conclusiveness and finality of title as an indication of ownership. The prospect of challenges to the title of the tax purchaser long after the redemption period has passed and after the purchaser may have in good faith expended money and work in improving what he thought was his land is not consistent with the goals of our land registry system. More particularly, s. 255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provides that:</w:t>
      </w:r>
    </w:p>
    <w:p>
      <w:pPr>
        <w:numPr>
          <w:numId w:val="3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where land is sold for taxes, rates, or assessments, the registration of the tax sale purchaser for an estate in fee simple purges and disencumbers the land of</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all the right, title and interest of every previous owner, or of those claiming under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the legislature's intention was that a purchaser such as Mrs. Griffith, who obtains title pursuant to s. </w:t>
      </w:r>
      <w:r>
        <w:rPr>
          <w:rFonts w:ascii="arial" w:eastAsia="arial" w:hAnsi="arial" w:cs="arial"/>
          <w:i/>
          <w:color w:val="000000"/>
          <w:sz w:val="20"/>
          <w:lang w:val="en-US" w:eastAsia="en-US" w:bidi="ar-SA"/>
        </w:rPr>
        <w:t>272</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at the end of the redemption period, should take title free from any claims of the previous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Second, the history of the legislation confirms the increasing concern of the legislature with ensuring certain title on tax sales, within such limits as are necessary to protect the property owner. Before 1900, tax purchasers in British Columbia could only purchase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title. Tax titles could always be impeached, and tax purchasers were never sure of their titles: </w:t>
      </w:r>
      <w:r>
        <w:rPr>
          <w:rFonts w:ascii="arial" w:eastAsia="arial" w:hAnsi="arial" w:cs="arial"/>
          <w:i/>
          <w:color w:val="000000"/>
          <w:sz w:val="20"/>
          <w:lang w:val="en-US" w:eastAsia="en-US" w:bidi="ar-SA"/>
        </w:rPr>
        <w:t>Johnson v. Kirk</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(1900), 30 S.C.R. 344</w:t>
        </w:r>
      </w:hyperlink>
      <w:r>
        <w:rPr>
          <w:rFonts w:ascii="arial" w:eastAsia="arial" w:hAnsi="arial" w:cs="arial"/>
          <w:color w:val="000000"/>
          <w:sz w:val="20"/>
          <w:lang w:val="en-US" w:eastAsia="en-US" w:bidi="ar-SA"/>
        </w:rPr>
        <w:t xml:space="preserve">. In 1900 the legislature enacted s. 8 of the </w:t>
      </w:r>
      <w:r>
        <w:rPr>
          <w:rFonts w:ascii="arial" w:eastAsia="arial" w:hAnsi="arial" w:cs="arial"/>
          <w:i/>
          <w:color w:val="000000"/>
          <w:sz w:val="20"/>
          <w:lang w:val="en-US" w:eastAsia="en-US" w:bidi="ar-SA"/>
        </w:rPr>
        <w:t>Land Registry Amendment Act</w:t>
      </w:r>
      <w:r>
        <w:rPr>
          <w:rFonts w:ascii="arial" w:eastAsia="arial" w:hAnsi="arial" w:cs="arial"/>
          <w:color w:val="000000"/>
          <w:sz w:val="20"/>
          <w:lang w:val="en-US" w:eastAsia="en-US" w:bidi="ar-SA"/>
        </w:rPr>
        <w:t xml:space="preserve"> to cure uncertain tax titles by estopping and debarring claims after the redemption period: see </w:t>
      </w:r>
      <w:r>
        <w:rPr>
          <w:rFonts w:ascii="arial" w:eastAsia="arial" w:hAnsi="arial" w:cs="arial"/>
          <w:i/>
          <w:color w:val="000000"/>
          <w:sz w:val="20"/>
          <w:lang w:val="en-US" w:eastAsia="en-US" w:bidi="ar-SA"/>
        </w:rPr>
        <w:t>Temple v. North Vancouver</w:t>
      </w:r>
      <w:r>
        <w:rPr>
          <w:rFonts w:ascii="arial" w:eastAsia="arial" w:hAnsi="arial" w:cs="arial"/>
          <w:color w:val="000000"/>
          <w:sz w:val="20"/>
          <w:lang w:val="en-US" w:eastAsia="en-US" w:bidi="ar-SA"/>
        </w:rPr>
        <w:t xml:space="preserve"> (1914), 6 W.W.R. 70 at 103-105 (S.C.C.) [B.C.], per Duff J.; </w:t>
      </w:r>
      <w:r>
        <w:rPr>
          <w:rFonts w:ascii="arial" w:eastAsia="arial" w:hAnsi="arial" w:cs="arial"/>
          <w:i/>
          <w:color w:val="000000"/>
          <w:sz w:val="20"/>
          <w:lang w:val="en-US" w:eastAsia="en-US" w:bidi="ar-SA"/>
        </w:rPr>
        <w:t>Crumm v. Shepard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[1928] S.C.R. 487</w:t>
        </w:r>
      </w:hyperlink>
      <w:r>
        <w:rPr>
          <w:rFonts w:ascii="arial" w:eastAsia="arial" w:hAnsi="arial" w:cs="arial"/>
          <w:color w:val="000000"/>
          <w:sz w:val="20"/>
          <w:lang w:val="en-US" w:eastAsia="en-US" w:bidi="ar-SA"/>
        </w:rPr>
        <w:t xml:space="preserve"> at 511-12, </w:t>
      </w:r>
      <w:hyperlink r:id="rId185" w:history="1">
        <w:r>
          <w:rPr>
            <w:rFonts w:ascii="arial" w:eastAsia="arial" w:hAnsi="arial" w:cs="arial"/>
            <w:i/>
            <w:color w:val="0077CC"/>
            <w:sz w:val="20"/>
            <w:u w:val="single"/>
            <w:shd w:val="clear" w:color="auto" w:fill="FFFFFF"/>
            <w:lang w:val="en-US" w:eastAsia="en-US" w:bidi="ar-SA"/>
          </w:rPr>
          <w:t>[1928] 3 D.L.R. 887</w:t>
        </w:r>
      </w:hyperlink>
      <w:r>
        <w:rPr>
          <w:rFonts w:ascii="arial" w:eastAsia="arial" w:hAnsi="arial" w:cs="arial"/>
          <w:color w:val="000000"/>
          <w:sz w:val="20"/>
          <w:lang w:val="en-US" w:eastAsia="en-US" w:bidi="ar-SA"/>
        </w:rPr>
        <w:t xml:space="preserve"> [Alta.]. In 1913 the legislature added an indemnity provision for persons who could not recover their land because of the operation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xml:space="preserve">. Between 1914 and 1919 the legislation permitted actions to set aside tax sales if they were brought within a year of delivery of the deed to the tax purchaser, but not otherwise. In 1919 the legislature repealed the existing tax sale provisions and enacted the predecessors of the present ss. 472 and 475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Finally, in 1978, s. 255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was enacted, providing that the tax purchaser obtains fee simple free of encumbrances.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I read the several decisions, Anderson, J.A.'s reasons were not adopted by the other members of the court. Anderson was of the view there was no sale. His reasons were not concurred in by Seaton, J.A. who considered the issue was triable, and referred the matter back to be resolved at trial. Seaton agreed with McLachlin, J.A., and Southin, J. below [ </w:t>
      </w:r>
      <w:hyperlink r:id="rId186" w:history="1">
        <w:r>
          <w:rPr>
            <w:rFonts w:ascii="arial" w:eastAsia="arial" w:hAnsi="arial" w:cs="arial"/>
            <w:i/>
            <w:color w:val="0077CC"/>
            <w:sz w:val="20"/>
            <w:u w:val="single"/>
            <w:shd w:val="clear" w:color="auto" w:fill="FFFFFF"/>
            <w:lang w:val="en-US" w:eastAsia="en-US" w:bidi="ar-SA"/>
          </w:rPr>
          <w:t>3 B.C.L.R. (2d) 335</w:t>
        </w:r>
      </w:hyperlink>
      <w:r>
        <w:rPr>
          <w:rFonts w:ascii="arial" w:eastAsia="arial" w:hAnsi="arial" w:cs="arial"/>
          <w:color w:val="000000"/>
          <w:sz w:val="20"/>
          <w:lang w:val="en-US" w:eastAsia="en-US" w:bidi="ar-SA"/>
        </w:rPr>
        <w:t xml:space="preserve">], that if there was a sale section 475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prevents setting it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my view the cases involving a failure to give notice of an expropriation or of a tax sale are not helpful to Camp. What could be more fundamental in either context than notice to the owner? In </w:t>
      </w:r>
      <w:r>
        <w:rPr>
          <w:rFonts w:ascii="arial" w:eastAsia="arial" w:hAnsi="arial" w:cs="arial"/>
          <w:i/>
          <w:color w:val="000000"/>
          <w:sz w:val="20"/>
          <w:lang w:val="en-US" w:eastAsia="en-US" w:bidi="ar-SA"/>
        </w:rPr>
        <w:t>Van Kam</w:t>
      </w:r>
      <w:r>
        <w:rPr>
          <w:rFonts w:ascii="arial" w:eastAsia="arial" w:hAnsi="arial" w:cs="arial"/>
          <w:color w:val="000000"/>
          <w:sz w:val="20"/>
          <w:lang w:val="en-US" w:eastAsia="en-US" w:bidi="ar-SA"/>
        </w:rPr>
        <w:t>, however, even that was held to be subordinated to the legislative conditions precedent that restricted required notice to those with recorded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this case there is no dispute that part of the lands was required for the construction of the Golden Ears bridge. The question of whether all or only part of the lands was required was vetted between Camp and GVTA prior to the Expropriation in an exchange of correspondence. The Notice of Expropriation states that it is for "the Golden Ears Bridge Project Transportation System, which constitutes a linear development". It is plain and obvious that an argument based on the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line of authorities cannot succeed. See, for example, </w:t>
      </w:r>
      <w:r>
        <w:rPr>
          <w:rFonts w:ascii="arial" w:eastAsia="arial" w:hAnsi="arial" w:cs="arial"/>
          <w:i/>
          <w:color w:val="000000"/>
          <w:sz w:val="20"/>
          <w:lang w:val="en-US" w:eastAsia="en-US" w:bidi="ar-SA"/>
        </w:rPr>
        <w:t>Gray v. City of Oshawa et 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[1972] 2 O.R. 856</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27 D.L.R. (3d) 35</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opinion, section 51 of the Act is a complete answer to Camp's application to amend its pleadings to challenge the validity of the Expropriation. Section 51(1), on its face, was intended to make available only for a limited period challenges to the validity of an expropriation. The availability of a challenge is restricted to the time prior to vesting. Vesting took place nearly four years ago, so the time limit to challenge the validity of the Expropriation expired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these circumstances it is inappropriate to allow an amendment to a pleading, to challenge the validity of an expropriation, asserting a new cause of action after the expiration of a limitation period: </w:t>
      </w:r>
      <w:r>
        <w:rPr>
          <w:rFonts w:ascii="arial" w:eastAsia="arial" w:hAnsi="arial" w:cs="arial"/>
          <w:i/>
          <w:color w:val="000000"/>
          <w:sz w:val="20"/>
          <w:lang w:val="en-US" w:eastAsia="en-US" w:bidi="ar-SA"/>
        </w:rPr>
        <w:t>City Construction Co. Ltd. v. Salmon's Transfer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[1973] 5 W.W.R. 378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Various actions of the expropriating authority might also be subject to judicial review. Section 51(2) restricts judicial review to within 30 days after the order or determination. Section 51(2) however is subject to section 51(1) which entails that once there is a vesting order, judicial review is not available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Of course any limitation period it can be argued has a draconian aspect as it forecloses rights. In my view, however, the legislature imposed strict limitations on the time frame within which the validity of expropriation might be challenged in express terms. There are good policy reasons for this which are found in the various reports that antedated passage of the modern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i.e., the avoidance of confusion and delay in the creation of public works, especially linear ones which may involve years of planning and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To paraphrase what McLachlin J.A., said in </w:t>
      </w:r>
      <w:r>
        <w:rPr>
          <w:rFonts w:ascii="arial" w:eastAsia="arial" w:hAnsi="arial" w:cs="arial"/>
          <w:i/>
          <w:color w:val="000000"/>
          <w:sz w:val="20"/>
          <w:lang w:val="en-US" w:eastAsia="en-US" w:bidi="ar-SA"/>
        </w:rPr>
        <w:t>Gray</w:t>
      </w:r>
      <w:r>
        <w:rPr>
          <w:rFonts w:ascii="arial" w:eastAsia="arial" w:hAnsi="arial" w:cs="arial"/>
          <w:color w:val="000000"/>
          <w:sz w:val="20"/>
          <w:lang w:val="en-US" w:eastAsia="en-US" w:bidi="ar-SA"/>
        </w:rPr>
        <w:t>, the presence of these sections evinces an intention of the legislature that while there may be defects rendering an expropriation invalid, an expropriation must stand after vesting notwithstanding defects affecting validity. While in some respects that might appear draconian, that does not leave the expropriated person without redress. The expropriated person had the ability to challenge the expropriation albeit for a limited period. There is also other redress under the Act. The other redress is statutory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follows that on my view, it would be inappropriate to allow the amendments which seek to challenge the validity of the Expropriation. That is because the proposed amendments raise an issue that is bound to fail. The GVTA raised other arguments opposing these amendments. It is appropriate to deal with those arguments.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Inconsistent Pleading &amp; Substantive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Alternatively, GVTA takes issue with Camp amending its pleadings to allege the Expropriation is invalid, as this raises an inconsistency in the pleadings. There is no doubt that the original pleadings assert that there had been an expropriation and seeks statutory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proposed pleading asserts that the expropriation is void or partially void and seeks to have what are described as excess lands returned. During the course of argument Camp suggested that it did not want the land returned that is being used for the Golden Ears bridge but that proving invalidity might require a new taking, requiring that compensation be at current values, not 2005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GVTA argues that either the Expropriation was valid and Camp is entitled to statutory compensation, which is its original pleading, or the Expropriation is not valid, and Camp is entitled to some other remedy. Is this an additional concern regarding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GVTA relied on Rule 19(7) which provides that "A party shall not plead an allegation of fact or a new ground or claim inconsistent with the party's previous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There are cases that interpret Rule 19(7) in the way contended for by GVTA. For example, in </w:t>
      </w:r>
      <w:r>
        <w:rPr>
          <w:rFonts w:ascii="arial" w:eastAsia="arial" w:hAnsi="arial" w:cs="arial"/>
          <w:i/>
          <w:color w:val="000000"/>
          <w:sz w:val="20"/>
          <w:lang w:val="en-US" w:eastAsia="en-US" w:bidi="ar-SA"/>
        </w:rPr>
        <w:t>Bratsch Inc. v. LeBrooy</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[1991] B.C.J. No. 3290</w:t>
        </w:r>
      </w:hyperlink>
      <w:r>
        <w:rPr>
          <w:rFonts w:ascii="arial" w:eastAsia="arial" w:hAnsi="arial" w:cs="arial"/>
          <w:color w:val="000000"/>
          <w:sz w:val="20"/>
          <w:lang w:val="en-US" w:eastAsia="en-US" w:bidi="ar-SA"/>
        </w:rPr>
        <w:t xml:space="preserve">, Melnick J. held that a claim for specific enforcement of a contract that a party has already pleaded is void and of no effect, even though stated to be in the alternative, is a plea of an inconsistent right. To like effect is the decision of this court in </w:t>
      </w:r>
      <w:r>
        <w:rPr>
          <w:rFonts w:ascii="arial" w:eastAsia="arial" w:hAnsi="arial" w:cs="arial"/>
          <w:i/>
          <w:color w:val="000000"/>
          <w:sz w:val="20"/>
          <w:lang w:val="en-US" w:eastAsia="en-US" w:bidi="ar-SA"/>
        </w:rPr>
        <w:t>Westerlee Development Ltd. v. Adanac Customs Brokers Ltd.</w:t>
      </w:r>
      <w:r>
        <w:rPr>
          <w:rFonts w:ascii="arial" w:eastAsia="arial" w:hAnsi="arial" w:cs="arial"/>
          <w:color w:val="000000"/>
          <w:sz w:val="20"/>
          <w:lang w:val="en-US" w:eastAsia="en-US" w:bidi="ar-SA"/>
        </w:rPr>
        <w:t xml:space="preserve"> (1994), 31 C.P.C. (3d) 136 where it was held that it was inconsistent to plead affirmation of the contract and specific performance or damages and then to plead repudiation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Camp seeks to distinguish </w:t>
      </w:r>
      <w:r>
        <w:rPr>
          <w:rFonts w:ascii="arial" w:eastAsia="arial" w:hAnsi="arial" w:cs="arial"/>
          <w:i/>
          <w:color w:val="000000"/>
          <w:sz w:val="20"/>
          <w:lang w:val="en-US" w:eastAsia="en-US" w:bidi="ar-SA"/>
        </w:rPr>
        <w:t>Bratsch</w:t>
      </w:r>
      <w:r>
        <w:rPr>
          <w:rFonts w:ascii="arial" w:eastAsia="arial" w:hAnsi="arial" w:cs="arial"/>
          <w:color w:val="000000"/>
          <w:sz w:val="20"/>
          <w:lang w:val="en-US" w:eastAsia="en-US" w:bidi="ar-SA"/>
        </w:rPr>
        <w:t xml:space="preserve"> on the basis that it was a contract repudiation case and relied on there being full knowledge, before there is an election. It says whether Camp can be held to have irrevocably elected a right to compensation as opposed to a right to seek a remedy based on the claim that the Expropriation was void, based on contract repudiation cases, is to ignore the very different substantive law that affects consideration of these types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contract repudiation cases, it is argued, an alternate claim is not possible "a party simply cannot have it both ways-cannot say, I elected to terminate the contract but if I didn't do that I affirmed it". On the other hand "It is perfectly consistent to say the Expropriation was void, but if that is found not to be so, then Camp is entitled to more compensation under the statute that (sic) the Authority has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Camp first pled that there was an expropriation, inadequate advance payment, and that Camp was entitled to compensation under the Act. It then sought to amend the pleadings to say the expropriation was not valid. An examination of the caselaw indicates, in my opinion, a similarity between the substantive law on the election of remedies in contract and the law of expropriation, not the difference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Molander v. Cranbrook (City)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[1980] B.C.J. No. 633</w:t>
        </w:r>
      </w:hyperlink>
      <w:r>
        <w:rPr>
          <w:rFonts w:ascii="arial" w:eastAsia="arial" w:hAnsi="arial" w:cs="arial"/>
          <w:color w:val="000000"/>
          <w:sz w:val="20"/>
          <w:lang w:val="en-US" w:eastAsia="en-US" w:bidi="ar-SA"/>
        </w:rPr>
        <w:t xml:space="preserve">, 20 L.C.R. (B.C.C.A.), </w:t>
      </w:r>
      <w:hyperlink r:id="rId190" w:history="1">
        <w:r>
          <w:rPr>
            <w:rFonts w:ascii="arial" w:eastAsia="arial" w:hAnsi="arial" w:cs="arial"/>
            <w:i/>
            <w:color w:val="0077CC"/>
            <w:sz w:val="20"/>
            <w:u w:val="single"/>
            <w:shd w:val="clear" w:color="auto" w:fill="FFFFFF"/>
            <w:lang w:val="en-US" w:eastAsia="en-US" w:bidi="ar-SA"/>
          </w:rPr>
          <w:t>1980 CarswellBC 650</w:t>
        </w:r>
      </w:hyperlink>
      <w:r>
        <w:rPr>
          <w:rFonts w:ascii="arial" w:eastAsia="arial" w:hAnsi="arial" w:cs="arial"/>
          <w:color w:val="000000"/>
          <w:sz w:val="20"/>
          <w:lang w:val="en-US" w:eastAsia="en-US" w:bidi="ar-SA"/>
        </w:rPr>
        <w:t>, the court held that the owner having actively engaged in negotiating with the expropriating authority on the subject of compensation, while large sums were expended on construction, could not then about face and argue the expropriation was void some two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M.E.P.C. Canadian Properties Ltd. v. The Queen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(1974), 7 L.C.R. 31</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64 D.L.R. (3d) 707</w:t>
        </w:r>
      </w:hyperlink>
      <w:r>
        <w:rPr>
          <w:rFonts w:ascii="arial" w:eastAsia="arial" w:hAnsi="arial" w:cs="arial"/>
          <w:color w:val="000000"/>
          <w:sz w:val="20"/>
          <w:lang w:val="en-US" w:eastAsia="en-US" w:bidi="ar-SA"/>
        </w:rPr>
        <w:t xml:space="preserve">, Mahoney J., considered expropriation proceedings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R.S.C. 1970 (1st Supp.), c.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principle is that where a person chooses between mutually exclusive courses of action in relation to another person he cannot later, as against that person, take up any but the course of action chosen, Lord Atkin, in </w:t>
      </w:r>
      <w:r>
        <w:rPr>
          <w:rFonts w:ascii="arial" w:eastAsia="arial" w:hAnsi="arial" w:cs="arial"/>
          <w:i/>
          <w:color w:val="000000"/>
          <w:sz w:val="20"/>
          <w:lang w:val="en-US" w:eastAsia="en-US" w:bidi="ar-SA"/>
        </w:rPr>
        <w:t>United Australia, Ltd. v. Barclays Bank, Ltd.</w:t>
      </w:r>
      <w:r>
        <w:rPr>
          <w:rFonts w:ascii="arial" w:eastAsia="arial" w:hAnsi="arial" w:cs="arial"/>
          <w:color w:val="000000"/>
          <w:sz w:val="20"/>
          <w:lang w:val="en-US" w:eastAsia="en-US" w:bidi="ar-SA"/>
        </w:rPr>
        <w:t>, [1941] A.C. 1 at p. 30 put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a man is entitled to one of two inconsistent rights it is fitting that when with full knowledge he has done an unequivocal act showing that he has chosen the one he cannot afterwards pursue the other, which after the first choice is by reason of the inconsistency no longer his to choose.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this instance the plaintiff had a right to the property, if the expropriation were invalid as it contended, or it had a right to be paid if the expropriation were valid or if it withdrew or waived its contention. It did not have the right to both property and money. Its acceptance of the money was an unequivocal act made with full knowledge and constituted an election precluding it from thereafter seeking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M.E.P.C.</w:t>
      </w:r>
      <w:r>
        <w:rPr>
          <w:rFonts w:ascii="arial" w:eastAsia="arial" w:hAnsi="arial" w:cs="arial"/>
          <w:color w:val="000000"/>
          <w:sz w:val="20"/>
          <w:lang w:val="en-US" w:eastAsia="en-US" w:bidi="ar-SA"/>
        </w:rPr>
        <w:t xml:space="preserve"> was followed by Lamperson J., in this court in </w:t>
      </w:r>
      <w:r>
        <w:rPr>
          <w:rFonts w:ascii="arial" w:eastAsia="arial" w:hAnsi="arial" w:cs="arial"/>
          <w:i/>
          <w:color w:val="000000"/>
          <w:sz w:val="20"/>
          <w:lang w:val="en-US" w:eastAsia="en-US" w:bidi="ar-SA"/>
        </w:rPr>
        <w:t>Erickson v. Kamloops (City)</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(1993), 50 L.C.R. 81</w:t>
        </w:r>
      </w:hyperlink>
      <w:r>
        <w:rPr>
          <w:rFonts w:ascii="arial" w:eastAsia="arial" w:hAnsi="arial" w:cs="arial"/>
          <w:color w:val="000000"/>
          <w:sz w:val="20"/>
          <w:lang w:val="en-US" w:eastAsia="en-US" w:bidi="ar-SA"/>
        </w:rPr>
        <w:t>, [1993] B.C.W.L.D. 1640.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opinion the proposed pleading seeks to assert rights inconsistent with the course of action taken by receiving the advance payment, issuing a writ claiming compensation, and standing by while the bridge was built . In this case Camp received notice of the expropriation, and notice of the vesting in 2005. It received compensation in the amount of $7,650,000 at the time of the expropriation and additional sums totalling $9,000,000. It challenged the amount of compensation as inadequate by commencing an action seeking additional compensation under the Act in 2006. Between then and now the Golden Ears bridge has been built on the lands. It is inconsistent to assert now that the Expropriation is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raises an inconsistency in the pleadings to amend the pleadings now by asserting the Expropriation is invalid, having alleged in the original pleadings that the land was expropriated, there was inadequate compensation and sought additional compensation under the Act by issuance of the writ. The form of the proposed amendment indicates the inconsistency. The statement of claim originally asserts that on June 28, 2005 the authority expropriated the property. The proposed amendment says only that authority </w:t>
      </w:r>
      <w:r>
        <w:rPr>
          <w:rFonts w:ascii="arial" w:eastAsia="arial" w:hAnsi="arial" w:cs="arial"/>
          <w:i/>
          <w:color w:val="000000"/>
          <w:sz w:val="20"/>
          <w:lang w:val="en-US" w:eastAsia="en-US" w:bidi="ar-SA"/>
        </w:rPr>
        <w:t>purported</w:t>
      </w:r>
      <w:r>
        <w:rPr>
          <w:rFonts w:ascii="arial" w:eastAsia="arial" w:hAnsi="arial" w:cs="arial"/>
          <w:color w:val="000000"/>
          <w:sz w:val="20"/>
          <w:lang w:val="en-US" w:eastAsia="en-US" w:bidi="ar-SA"/>
        </w:rPr>
        <w:t xml:space="preserve"> to exercise its power to expropriate.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am mindful of the decision of Bennett J. (as she then was) in </w:t>
      </w:r>
      <w:r>
        <w:rPr>
          <w:rFonts w:ascii="arial" w:eastAsia="arial" w:hAnsi="arial" w:cs="arial"/>
          <w:i/>
          <w:color w:val="000000"/>
          <w:sz w:val="20"/>
          <w:lang w:val="en-US" w:eastAsia="en-US" w:bidi="ar-SA"/>
        </w:rPr>
        <w:t>Gabbs v. Bouwhuis</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2005 BCSC 1782</w:t>
        </w:r>
      </w:hyperlink>
      <w:r>
        <w:rPr>
          <w:rFonts w:ascii="arial" w:eastAsia="arial" w:hAnsi="arial" w:cs="arial"/>
          <w:color w:val="000000"/>
          <w:sz w:val="20"/>
          <w:lang w:val="en-US" w:eastAsia="en-US" w:bidi="ar-SA"/>
        </w:rPr>
        <w:t>, a case not referred to by either party. In that case Bennett J. allowed amendments that provided alternate grounds for finding liability under a promissory note which the defendant had signed. The original averment alleged that the defendant was the guarantor under the note. The alternate grounds to be pleaded were that the defendant was the maker of the note or in the further alternative, an accommodation party to the note. The amendments were allowed. The amendment allowed were simply alternate theories seeking the same relief based on the same set of primary facts, the signing by the defendant of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the instant case the proposed amendments would assert rights inconsistent with those originally pleaded, and under which the action was originally commenced. In my view such pleadings are precluded by the substantive law of expropriation, not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The substantive law of expropriation, in that regard, is similar to contract election; i.e., having sought compensation under the Act in accordance with the time limits required by the Act, one cannot after vesting, receipt of the advance payment, after having triggered the right to seek enhanced compensation, and having stood by during construction, reverse course.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Limitation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GVTA's third argument is based upon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For the reasons given below I would not accede to that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Bad Faith &amp; Section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Camp also proposes to amend its statement of claim to allege that the GVTA exercised its statutory powers in bad faith in not complying with section 21 of the Act. The proposed amendments are contained in paragraphs 48-52.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Section 21 of the Act reads as follows:</w:t>
      </w:r>
      <w:r>
        <w:rPr>
          <w:rFonts w:ascii="arial" w:eastAsia="arial" w:hAnsi="arial" w:cs="arial"/>
          <w:sz w:val="20"/>
          <w:lang w:val="en-US" w:eastAsia="en-US" w:bidi="ar-SA"/>
        </w:rPr>
        <w:cr/>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within 2 years after filing the vesting notice under section 23, the expropriating authority determines that the land is no longer required for its purposes, the authority must not, without the approval of the approving authority, dispose of the land without first offering it to the owner from whom the land was taken, or his or her successor.</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owner referred to in subsection (1) wishes to re-acquire the land expropriated, but cannot agree with the expropriating authority on the purchase price, the court must summarily determine the market value of the land as at the time of making the summary determination, and that amount is the purchase price.</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proceedings under this section must be borne by the parties, unless the court, in special circumstances, orders the expropriating authority or the owner to bear the costs of the other.</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 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applies to a re-acquisition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proposed amended statement of claim says that the GVTA was under a duty to offer to sell the excess land back to Camp, breached that duty by disposing of the excess lands, and is liable to suffer some remedy in Camp's favour as a result. The breach is alleged to have occurred on or before June 28,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I have said, paragraphs 48-61 allege bad faith in their being non-compliance with section 21 of the Act. GVTA argues in response that there is no cause of action revealed by these proposed amendments, and that a proceeding regarding bad faith is statute barred, or alternatively, there is a limitation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Limitation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GVTA argues that the amendments should not be permitted to allege these torts, if they are torts, because of the effluxion of the two year limitation period contained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It says that a claim for damages whether based on contract, tort, or statutory duty has a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Camp disagrees. The limitation period for pure economic loss is not "injury to property" within the meaning of section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Alberni District Credit Union v. Cambridge Properties Ltd.</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British Columbia (Workers' Compensation Board) v. Thompson Berwick Pratt &amp; Partners</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applicable limitation provision is therefore s. 3(5) which sets a basic limitation period of 6 years from the date the right to bring the action arose: see </w:t>
      </w:r>
      <w:r>
        <w:rPr>
          <w:rFonts w:ascii="arial" w:eastAsia="arial" w:hAnsi="arial" w:cs="arial"/>
          <w:i/>
          <w:color w:val="000000"/>
          <w:sz w:val="20"/>
          <w:lang w:val="en-US" w:eastAsia="en-US" w:bidi="ar-SA"/>
        </w:rPr>
        <w:t>Armstrong v. West Vancouver</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B.C.J. No. 303</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CarswellBC 264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H.M.T.Q. for B.C., as represented by the Minister of Forests et al v. Tnasem Logging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2006 BCCA 546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GVTA argues that there is no cause of action alleged. Camp says that GVTA was in breach of its statutory duties under section 21. Section 21 also provides its own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Substantive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GVTA says it has not disposed of the property, so that any obligation does not arise under section 21. Although title remains in the GVTA, Camp argues for an extended meaning to the term "disposed".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With respect to the limitation defence in my opinion Camp is correct. The phrase "Injury to property" in section 3(2)(a) of the </w:t>
      </w:r>
      <w:r>
        <w:rPr>
          <w:rFonts w:ascii="arial" w:eastAsia="arial" w:hAnsi="arial" w:cs="arial"/>
          <w:i/>
          <w:color w:val="000000"/>
          <w:sz w:val="20"/>
          <w:lang w:val="en-US" w:eastAsia="en-US" w:bidi="ar-SA"/>
        </w:rPr>
        <w:t>Limitation</w:t>
      </w:r>
      <w:r>
        <w:rPr>
          <w:rFonts w:ascii="arial" w:eastAsia="arial" w:hAnsi="arial" w:cs="arial"/>
          <w:color w:val="000000"/>
          <w:sz w:val="20"/>
          <w:lang w:val="en-US" w:eastAsia="en-US" w:bidi="ar-SA"/>
        </w:rPr>
        <w:t xml:space="preserve"> Act means physical harm caused by an external force: </w:t>
      </w:r>
      <w:r>
        <w:rPr>
          <w:rFonts w:ascii="arial" w:eastAsia="arial" w:hAnsi="arial" w:cs="arial"/>
          <w:i/>
          <w:color w:val="000000"/>
          <w:sz w:val="20"/>
          <w:lang w:val="en-US" w:eastAsia="en-US" w:bidi="ar-SA"/>
        </w:rPr>
        <w:t>410727 B.C. Ltd. Dayhu Investments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2004 BCCA 379</w:t>
        </w:r>
      </w:hyperlink>
      <w:r>
        <w:rPr>
          <w:rFonts w:ascii="arial" w:eastAsia="arial" w:hAnsi="arial" w:cs="arial"/>
          <w:color w:val="000000"/>
          <w:sz w:val="20"/>
          <w:lang w:val="en-US" w:eastAsia="en-US" w:bidi="ar-SA"/>
        </w:rPr>
        <w:t xml:space="preserve"> at paragraph 16. The limitation period for the torts alleged has not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Whether it is necessary to plead a cause of action other than a failure to comply with section 21 is an arguable point, as is the question of whether a party is restricted to the remedy provided for by section 21. However, Camp pleads breach of statutory duty, which is a tort, and thus has pleaded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GVTA says it has not disposed of the property, so that any obligation does not arise under section 21. Camp argues for an extended meaning to the term "disposed". These are matters which can appropriately be dealt with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opinion it is not plain and obvious at this stage that Camps arguments based on these or similar amendments must fail. In the circumstances, I would allow amendments similar to those currently contained in paragraphs 48-52. I say "similar to" because in light of my disallowance of some of the other amendments the wording of these proposed amendments might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disallow those amendments seeking to challenge the validity of the Expropriation as explained above. I allow those amendments seeking a remedy arising from s. 21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If there are any other matters arising the parties are at liberty to come back before the court. If the parties are unable to agree on costs,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CanPacific Engineering Inc. v. Alican Enterprise Inc., [2011] B.C.J. No. 368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29-31, April 6-9, 12-14, 26, 30, and June 7-10,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June 22 and August 20, 2010 (Plaintiff) and July 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(Defendant),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S061752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B.L.R. (4th) 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CanPacific Engineering Inc., Plaintiff, and Alican Enterprise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Contracts — Terms — Express terms — Estimates and expectations — Action by inventor for $2,713,000 damages for breach of contract dismissed — Counterclaim by manufacturer for $52,505 for work performed allowed — Contract stated plaintiff would loan defendant prototype mold, provide metal accessories and order one million parts within 18 months or pay for work completed — Contract provided defendant would modify mold, build new mold and make parts — Plaintiff did not provide metal parts and demanded mold back — Defendant demanded payment and plaintiff terminated contract — Contract did not require defendant to return mold on demand — Plaintiff did not order one million parts so was required to pay for work.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Performance and discharge — Performance — Incomplete performance — Payment — Termination — By notice — Action by inventor for $2,713,000 damages for breach of contract dismissed — Counterclaim by manufacturer for $52,505 for work performed allowed — Contract stated plaintiff would loan defendant prototype mold, provide metal accessories and order one million parts within 18 months or pay for work completed — Contract provided defendant would modify mold, build new mold and make parts — Plaintiff did not provide metal parts and demanded mold back — Defendant demanded payment and plaintiff terminated contract — Contract did not require defendant to return mold on demand — Plaintiff did not order one million parts so was required to pay for work.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General principles — Position had the contract been performed — Loss of profit — Counterclaim — Action by inventor for $2,713,000 damages for breach of contract dismissed — Counterclaim by manufacturer for $52,505 for work performed allowed — Contract stated plaintiff would loan defendant prototype mold, provide metal accessories and order one million parts within 18 months or pay for work completed — Contract provided defendant would modify mold, build new mold and make parts — Plaintiff did not provide metal parts and demanded mold back — Defendant demanded payment and plaintiff terminated contract — Contract did not require defendant to return mold on demand — Plaintiff did not order one million parts so was required to pay for work.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5"/>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can opener inventor for $2,713,000 damages for breach of contract. Counterclaim by the manufacturer for $52,505 payment for work completed. The plaintiff's principal invented a can opener and retained a tool and die company to build two prototype molds. The plaintiff assembled and packaged 10,000 can openers for sale but had to recall them because the plastic parts were cracking. The plaintiff contacted the defendant to modify the molds and produce parts. The defendant's principal testified that the plaintiff told him the molds were ready for production, other than a few modifications, and had a cycle time of 30 seconds. The parties signed a contract that expressly provided the plaintiff would loan the defendant the prototype molds for the production of one million plastic parts or the life of the molds, the defendant would modify the molds, the plaintiff would provide the necessary metal accessories, the plaintiff would order one million parts within 18 months or pay the defendant for its work and the defendant would build new molds. The defendant agreed to forgo debt on an earlier contract in signing this contract. The defendant did not inspect the molds prior to signing and, once they were delivered, discovered the molds were not aluminum as was standard, but were hardened steel, which made modifications far more difficult. The defendant testified the cycle time was more than double what the plaintiff claimed and both the molds and the product had numerous problems. The defendant undertook modifications and produced the first order. The plaintiff then sent a purchase order for 50,000 parts but failed to send the necessary metal accessories. The defendant decided not to work on the new mold until the plaintiff provided the metal parts or payment. The plaintiff then demanded its prototype molds back. The defendant demanded payment first. The plaintiff then declared the contract had been terminated. The plaintiff argued that the defendant's breach cost it an exclusive manufacturing contract and the opportunity to sell the product in Korea.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4"/>
            <w:bookmarkEnd w:id="42"/>
            <w:r>
              <w:rPr>
                <w:rFonts w:ascii="arial" w:eastAsia="arial" w:hAnsi="arial" w:cs="arial"/>
                <w:color w:val="000000"/>
                <w:sz w:val="20"/>
                <w:lang w:val="en-US" w:eastAsia="en-US" w:bidi="ar-SA"/>
              </w:rPr>
              <w:t>HELD: Action dismissed; counterclaim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did not support the plaintiff's claim it would have had contracts to sell its product of the defendant had performed this contract. The express terms of the contract did not place any obligation on the defendant to return the plaintiff's prototype molds on demand, nor was this request industry standard. The plaintiff failed to prove that the defendant had breached the contract. However, the plaintiff breached the contract by failing to place the requisite order of one million parts within 18 months and failing to provide the defendant for work completed. The plaintiff was required to pay the defendant $52,505, the cost of work completed prior to the termination.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Counsel_5"/>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U.K. Ottho.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the Defendant: J. Ling and D. Ling.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8"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PARTIES AND CASE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BREACHES OF CONTRACT ALLEGED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THE MOLD MODIFICATIONS AND DELIVERY OF THE CAN OPENER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MARKETING AND SELLING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THE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ANALYSIS OF THE LAW</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Principles of Contract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Principles Relating to Implied Terms of a Contract</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IMPLIED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L.A. LOO J."/>
            <w:bookmarkEnd w:id="45"/>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about a contract for the production of a mold and various plastic parts for a can opener. The plaintiff claims that the defendant breached a written contract dated February 5, 2004 (the "Contract") by failing to produce 30,000 plastic parts using the plaintiff's prototype mold, and by failing to manufacture a production mold for the making of thousands more plastic parts for the plaintiff's can openers. The plaintiff claims damages of approximately $2,713,000 for potential lost sales, loss of opportunity to perform a contract, and capital investment loss for the purchase cost of machinery and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alleges that the plaintiff misrepresented the cycle time to produce plastic parts using the prototype mold and the extent of the modifications required to build the production mold. The defendant claims that the process of refining the design of the prototype mold took over a year because of the modifications, and that the defendant never received the plaintiff's final design approval which was required before it could commence work on the production mold. The defendant also alleges that the plaintiff failed to deliver the metal parts needed by the defendant to produce the plastic parts, and accordingly counterclaims for damages in the amount of $52,505.95.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PARTIES AND CASE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CanPacific Engineering Inc. ("CanPacific") is a company incorporated in British Columbia; Mr. Wun Chong is the president of CanPacific.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Chong was a mechanical engineer in Seoul, Korea where he worked as a tin can manufacturing engineer. He immigrated to Canada in 1970 and worked for BC Packers as Mechanical Research and Development Manager until June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Chong is also an "inventor". He invented or designed Canguard for the commercial testing of cans (including Campbell's soup cans), and a commercial can opener for use in commercial establishments. Since 1991 CanPacific has manufactured the commercial can opener and Canguard.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Chong also invented a household can opener that is different from typical can openers. A typical can opener cuts the tin can lid in a way that the lid comes into contact with the contents of the can. Mr. Chong's can opener bisects the bead of the can to form a lid that lifts off the can and prevents the lid from coming into contact with the can's contents. On November 29, 1994 Mr. Chong obtained a United States Patent for his can opener (the "Patent"). The Patent expires at the end of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case is about Mr. Chong's patented can opener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1998 Mr. Chong incorporated CrownWare Mfg. Inc. ("CrownWare") as the marketing arm for his can opener. The majority of the shares in CrownWare and CanPacific are held by Mr. Chong, and the remaining shares are held by his wife and their two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Cindy Chong is Mr. Chong's daughter. Ms. Chong has a post graduate degree in applied information technology. She worked at CanPacific during the summer while attending university, and in January 2001 began working full time for the company. Her husband Mr. Min Kim also works for CanPacific and CrownWare. Their primary roles are marketing and selling the can opener. Although Ms. Chong explained that CanPacific "owns" CrownWare, and the accounting program is set up so that CrownWare is a department within CanPacific, I often found it difficult to discern from the evidence which company was doing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Bradshaw International Inc. ("Bradshaw"), a company based in Rancho Cucamonga, California, is a wholesale distributer and marketer of kitchenware that sells to large chain food and grocery stores, including Safeway, Kroger, and Albertsons, and to large scale merchants such as Wal-Mart, K-Mart, and Target.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Jeffrey Megorden is Bradshaw's Vice President, Global Supply Chain, responsible for the company's international manufacturing operations. Mr. Megorden negotiated a Non-Exclusive Patent License Agreement dated February 20, 2002 between Bradshaw and Mr. Chong for the term October 1, 2001 to December 31, 2006, and a renewal term from January 1, 2007 to November 29, 2011 (the "License Agreement"). Under the terms of the License Agreement, Bradshaw as "licensee" could manufacture and sell the "rim-slitting can opener", and paid Mr. Chong as "licensor" $0.17 (US) for each can opener Bradshaw sold. Bradshaw guaranteed Mr. Chong a minimum royalty of $140,000 (US) for 2002. From April 2003 to March 2004 Bradshaw paid Mr. Chong royalties based on its sales of nearly 570,000 can openers that were manufactured for Bradshaw by a company in Taiwan.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Chong wanted the License Agreement with Bradshaw non-exclusive so that he could market and "mass produce" the can opener. He calculated that he could make $1.20 (US) profit on each can opener. He wanted to produce one million can openers in a year. However, compared to Bradshaw, CrownWare's efforts at marketing and selling the can opener were minuscule. From November 28, 2003 to January 2, 2004 CrownWare sold 708 can openers, and from September 27, 2004 to October 20, 2004 it sold a total of 1,293 can openers. By comparison, for the month of September 2004 alone, Bradshaw sold 25,278 can openers.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can opener is comprised of plastic and metal parts. Mr. Chong wanted to order the metal parts from various suppliers in China, and have a local mold maker make the production mold and mass produce the plastic parts, including the handle, knob, and the part housing the cutter and pin. Typically, a mold maker will absorb the cost of building the production mold if it can produce the plastic products in quantities sufficient to make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brief explanation of how a plastic injection mold works: a mold consists of two plates with a number of cavities. When the mold is closed, hot plastic material is injected into the mold and fills the cavities. A water bath cools the mold. After the mold has cooled, the mold is opened, and an ejector pin kicks out the plastic parts. The cycle time is dependent in part on the length of time it takes to cool the mold. The shorter the cycle time, the faster the parts can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Around December 2001 Mr. Chong began ordering various metal and stainless steel parts from suppliers in China. He also ordered two plastic injection mold machines as "back-up", in case the mold maker was for whatever reason unable to meet his production quota and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December 2001 CanPacific issued a purchase order to Arcam Plastic Tools &amp; Dies Mfg. (2000) Ltd. ("Arcam") to build two prototype plastic injection molds for the plastic parts: a larger prototype mold for the larger parts, such as the can opener handle; and a smaller prototype mold for the smaller parts. A total of seven different plastic parts are required to assemble one can opener. Arcam also manufactured 10,000 sets of plastic parts using the prototype molds it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molds produced by Arcam were referred to at trial as the prototype mold. Generally, after a prototype mold is designed, built, tested, and modified, the production mold is built. The prototype mold is the template for the production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CanPacific assembled and packaged 10,000 can openers using the plastic parts produced with the Arcam prototype mold. CrownWare then sold 5,000 of these can openers, but consumers complained that certain plastic parts cracked, and these can openers were recalled. Similar cracking was observed in the other 5,000 can openers manufactured by Arcam which were stored at CanPacific's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Chong, "the [prototype] mold itself is not right"; the mold needed to be modified, but he did not want Arcam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Alican Enterprise Inc., a company incorporated in British Columbia, carries on business as Alican Mold &amp; Plastics ("Alican"). Alican builds molds for plastic injection molding processes. Mr. Johnson Ling is an owner of Alican and its chief executive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Towards the end of 2003 Mr. Chong approached Mr. Ling to see if Alican was interested in modifying Arcam's prototype mold, building the production mold, and producing significant quantities of the plastic parts for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Ling was educated in Hong Kong where he worked with machinery that made plastics. He immigrated to Canada in 1992. In August 1992 Mr. Ling and his partner purchased Alican. Alican is ISO certified; that is, a member of the International Organization for Standardization. At the material times, Alican had a workforce of approximately 30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I deal with the evidence of Mr. Chong and Mr. Ling as to what occurred prior to and after the making of the Contract, I need to say something about their ability to communicate in English because there is little if any written communication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I have indicated, Mr. Chong was raised and educated in Korea. English for him is a second language. Mr. Chong tried his best to testify in English but an interpreter was used whenever he had difficulty expressing himself so that I could understand him. An interpreter was used frequently throughout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English for Mr. Ling is also a second language. Alican did not have legal representation for trial so Mr. Ling represented Alican. Mr. Ling needed the assistance of his teenage son Devan Ling who ably assisted him when he had difficulty expressing himself orally in English, and with written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Chong and Mr. Ling had prior dealings before the Contract. Around 1998 Alican built an aluminum die cast mold for CanPacific's commercial can opener. By December 2003, CanPacific still owed Alican approximately $11,500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Chong testified that in December 2004 he telephoned Mr. Ling and asked if he was interested in "the can opener project" and if he was, to come and talk. The two men met at CanPacific's new manufacturing plant and warehouse facility at Tilbury Industrial Park in Delta. The meeting lasted approximately two hours. That time included a tour of the new facility, and discussion about matters that Mr. Chong testified had nothing to do with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asked in direct examination what he said and what Mr. Ling said during their meeting, almost the entire extent of Mr. Chong's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Okay, what did he say and what did you say during this two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I told him that my dream was mass production of can opener to selling to my licensor -- Licensee, to Bradshaw. Situation, 2006 is end, licence agreement end.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 I told him that the large amount to be, going to produce this can opener, plastic can opener. Then that is, we need one million piece per year we want. So I give the price, we pay ARCAM 98 cents per set, plastic but you can match 65 cents, you can produce this product for one million pieces.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He didn't answer. I go, "Take a look, so we can do --" ... So he cannot say, "I can," or, "I cannot do it." So, "You take a look. You calculation all plastic weight, time, you can do it making money. Then you do -- we do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I'm sorry, "So you take a look." Take a look at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OTTHO: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price was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Sixty five cents.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To produce all those seven pieces of plastic for 65 cents?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 My Lady.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So couple of days later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OTTHO: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Before you go there, was there anything else said at the meeting that you can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I told whole story, my plan, what is I'm going through, next four years before expire Bradshaw Licence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Chong testified that a couple of days later, Mr. Ling telephoned him and told him that he could produce the plastic parts for 65 cents per set. He gave no evidence that anything else was discussed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 examination Mr. Chong admitted that during their initial discussion he told Mr. Ling that he wanted to produce "one million" can openers a year, and that the cycle time for Arcam's mold was 30 seconds. He showed Mr. Ling the can opener, and where he wanted changes made, but did not show him any drawings of the can opener because they were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Ling testified that Mr. Chong told him that the Arcam mold was "ready for production", and "is ready to run", except for a few modifications. He showed him a can opener and where on the can opener he wanted a total of three modifications made. He told him that he wanted Alican to produce 80,000 sets of plastic parts per month, and that the cycle time for Arcam's mold was 30 seconds. Mr. Chong also insisted that Alican forgo its approximately $11,500 unpaid account, but guaranteed an order of 1 million sets of plastic parts. Mr. Ling testified that on that basis he calculated that Alican could produce 80,000 sets of plastic parts per month using a "higher cavity" production mold and working two to three shifts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issue that both men knew that Arcam's prototype mold was not capable of producing 80,000 sets of plastic parts per month. Only a properly designed production mold was capable of producing those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Chong testified that she was in the office when Mr. Ling came to meet her father in December 2004. All she can remember is that Mr. Ling told her about Alican's ISO certification, that she told Mr. Ling that she had been doing some test marketing for the can opener, and that they spoke about different colour options for the can opener. However, she drafted a contract on instructions from her father, and from a short exchange of two or three e-mails with Mr. 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None of the parties had any legal advice on drafting a contract. Ms. Chong testified that she had "a lot of licensing agreements from law firms" which she used as precedents to prepare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Ling said that he was telephoned (he does not remember who telephoned him) and asked to come to CanPacific's office to sign the Contract. When he arrived, Mr. Chong was not there, but Mr. Kim gave him the Contract to sign, which he did. Mr. Kim then told him that he would send him a copy of the Contract after Mr. Chong signed it. However, a copy was never sent to him. The first time he saw a signed copy of the Contract was at his examination for discovery in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date the Contract was signed by Mr. Chong and Mr. Ling on behalf of their respective companies was February 5, 2004. The Contract is comprised of (1) a 21 clause agreement entitled TERMS AND CONDITIONS OF PURCHASE AGREEMENT; (2) Annex 1 setting out "descriptions for attached drawings"; and (3) Schedule A: Mutual Non-Disclosure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relevant portions of the Contract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TERMS AND CONDITIONS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PURCHASE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("Agreement") is entered into by and between CANPACIFIC ENGINEERING INCORPORATED, at 7331 Vantage Way, Delta, British Columbia, Canada V4G 1C9 ("CANPACIFIC"); and ALICAN Enterprise Incorporated, at Unit 230, 12417 No. 2 Road. Richmond. British Columbia, Canada V7E 2G3 ("ALICAN").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RECITALS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CANPACIFIC owns patents and technology relating to the design and manufacture of a consumer handheld can opener and wishes ALICAN to manufacture plastic parts and molds.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ALICAN desires to manufacture plastic parts for CANPACIFIC with both CANPACIFIC's existing molds and new molds to be built by ALICAN.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in consideration of the premises and mutual covenants hereinafter set forth, CANPACIFIC and ALICAN agree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otherwise specifically agreed in writing and signed by CANPACIFIC, the terms and conditions of any purchase order, together with the Agreement, constitute the complete and exclusive final terms and conditions and supersede any prior or contemporaneous oral or written agreements with respect to household manual can openers (hereafter called the "Product"). This Agreement may not be modified except in writing signed by CANPACIFIC and ALICAN. No modification will be effected by any contrary terms or conditions set forth in any of ALICAN's documents or correspondence.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PREVIOUS AGREEMENTS.</w:t>
      </w:r>
      <w:r>
        <w:rPr>
          <w:rFonts w:ascii="arial" w:eastAsia="arial" w:hAnsi="arial" w:cs="arial"/>
          <w:color w:val="000000"/>
          <w:sz w:val="20"/>
          <w:lang w:val="en-US" w:eastAsia="en-US" w:bidi="ar-SA"/>
        </w:rPr>
        <w:t xml:space="preserve"> All CP molds currently at Alican will be shipped back to CP, at CP's cost, including all CanGuard molds and all can opener plastic injection molds. Any prior or contemporaneous oral or written agreements between CANPACIFIC AND ALICAN shall be terminated and debts absolved in order to bring about the new business relationship as set forth this Agreement.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Warranties.</w:t>
      </w:r>
      <w:r>
        <w:rPr>
          <w:rFonts w:ascii="arial" w:eastAsia="arial" w:hAnsi="arial" w:cs="arial"/>
          <w:color w:val="000000"/>
          <w:sz w:val="20"/>
          <w:lang w:val="en-US" w:eastAsia="en-US" w:bidi="ar-SA"/>
        </w:rPr>
        <w:t xml:space="preserve"> ALICAN expressly warrants that it will convey good title to the goods encompassed by any purchase order, free and clear of all liens, encumbrances and security interests, and that it has complied with all applicable laws regarding the manufacture and sale of these goods that might affect CANPACIFIC's rights in these goods. ALICAN further warrants that all the goods encompassed by any purchase order will comply with the order description and specifications, and free from all defects in material and/or workmanship. These warranties shall survive delivery and shall not be deemed waived by reason of CANPACIFIC's acceptance of goods or shipment. Any deviation from the terms of a purchase order shall be ineffective unless approved in writing by CANPACIFIC. No attempt by ALICAN to disclaim, exclude, limit or modify the warranties contained herein or ALICAN's liabilities shall be of any force or effect.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Default and Waiver.</w:t>
      </w:r>
      <w:r>
        <w:rPr>
          <w:rFonts w:ascii="arial" w:eastAsia="arial" w:hAnsi="arial" w:cs="arial"/>
          <w:color w:val="000000"/>
          <w:sz w:val="20"/>
          <w:lang w:val="en-US" w:eastAsia="en-US" w:bidi="ar-SA"/>
        </w:rPr>
        <w:t xml:space="preserve"> In the event ALICAN fails to provide the goods as provided in this Agreement, or fails to make any shipment as scheduled, CANPACIFIC may, without prejudice to other remedies, defer further payments until the default is corrected or terminate this Agreement. However, ALICAN shall not be responsible for failure to ship the goods in accordance with this Agreement in the event such failure is a result of causes or contingencies beyond ALICAN's control; provided, that at CANPACIFIC's option delivery so omitted shall be made, upon notice thereof to ALICAN, upon a cessation of such contingency. No course of conduct or any delay of CANPACIFIC in exercising any rights hereunder shall waive any rights of CANPACIFIC or modify any agreement with ALICAN.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Confidentially.</w:t>
      </w:r>
      <w:r>
        <w:rPr>
          <w:rFonts w:ascii="arial" w:eastAsia="arial" w:hAnsi="arial" w:cs="arial"/>
          <w:color w:val="000000"/>
          <w:sz w:val="20"/>
          <w:lang w:val="en-US" w:eastAsia="en-US" w:bidi="ar-SA"/>
        </w:rPr>
        <w:t xml:space="preserve"> As set forth in Schedule A: Mutual non-disclosure agreement.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Molds.</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Borrowing of CANPACIFIC mold.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CANPACIFIC will lend ALICAN their mold for production.</w:t>
      </w:r>
      <w:r>
        <w:rPr>
          <w:rFonts w:ascii="arial" w:eastAsia="arial" w:hAnsi="arial" w:cs="arial"/>
          <w:color w:val="000000"/>
          <w:sz w:val="20"/>
          <w:lang w:val="en-US" w:eastAsia="en-US" w:bidi="ar-SA"/>
        </w:rPr>
        <w:t xml:space="preserve"> ALICAN will recondition CANPACIFIC's mold and CANPACIFIC's mold will be made ready for set up and installation and shipped back to CANPACIFIC on wooden pallets with plastic strapping reinforcements and plastic rain cover. ALICAN will pick up the mold from CANPACIFIC. ALICAN will have sufficient insurance coverage for the value of the molds and stock while it remains on ALICAN's property in case of damages due to fire, earthquakes, natural disasters. and theft.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Modification of borrowed molds.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ALICAN will, at no charge, make modifications to the CANPACIFIC molds as shown in attached drawings CPH005P1, CPH005P2, CPH018P, CPH019P as described in Annex I.</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Maintenance of ALICAN Mold.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ALICAN will maintain the mold to the best of its abilities for the continuation of production up to at least 1,000,000 units or the life of the mold whichever comes first.</w:t>
      </w:r>
      <w:r>
        <w:rPr>
          <w:rFonts w:ascii="arial" w:eastAsia="arial" w:hAnsi="arial" w:cs="arial"/>
          <w:color w:val="000000"/>
          <w:sz w:val="20"/>
          <w:lang w:val="en-US" w:eastAsia="en-US" w:bidi="ar-SA"/>
        </w:rPr>
        <w:t xml:space="preserve"> At any time during the production, CANPACIFIC may request minor changes in design of the product, for which ALICAN will absorb the cost of these changes. CANPACIFIC understands that ALICAN performs periodic repair and maintenance of tools and machinery, and that such maintenance may affect the delivery schedule and that such delays are a normal part of the business. ALICAN will provide information of its maintenance schedule to CANPACIFIC no less than 1 month time prior to the date of maintenance.</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New Mold.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CANPACIFIC will lend ALICAN molds for production until ALICAN has finished building new molds for the Product. CANPACIFIC's molds will be returned to CANPACIFIC at ALICAN's cost once ALICAN has finished building the new molds.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Product.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Colours.</w:t>
      </w:r>
      <w:r>
        <w:rPr>
          <w:rFonts w:ascii="arial" w:eastAsia="arial" w:hAnsi="arial" w:cs="arial"/>
          <w:color w:val="000000"/>
          <w:sz w:val="20"/>
          <w:lang w:val="en-US" w:eastAsia="en-US" w:bidi="ar-SA"/>
        </w:rPr>
        <w:t xml:space="preserve"> ALICAN will change knob-line colours, when ordered, at no extra cost. These colour changes will follow from lightest to darkest and according to material quantities in the CANPACIFIC stock at ALICAN's factory. ALICAN will provide CANPACIFIC the choice of standard colors. Any other colors may be considered custom colours and may affect the price.</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Price.</w:t>
      </w:r>
      <w:r>
        <w:rPr>
          <w:rFonts w:ascii="arial" w:eastAsia="arial" w:hAnsi="arial" w:cs="arial"/>
          <w:color w:val="000000"/>
          <w:sz w:val="20"/>
          <w:lang w:val="en-US" w:eastAsia="en-US" w:bidi="ar-SA"/>
        </w:rPr>
        <w:t xml:space="preserve"> CANPACIFIC will have the choice between two price and color options:</w:t>
      </w:r>
    </w:p>
    <w:p>
      <w:pPr>
        <w:numPr>
          <w:numId w:val="11"/>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$0.70 cents per assembly will include all outlined in this agreement, including any new molds and all mold maintenance for the life of this agreement. 70 cents includes the choice between two standard colors for the body and 3 standard color choices for the knob-line.</w:t>
      </w:r>
    </w:p>
    <w:p>
      <w:pPr>
        <w:numPr>
          <w:numId w:val="1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$0.65 cents per assembly for one standard color only.</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Materials.</w:t>
      </w:r>
      <w:r>
        <w:rPr>
          <w:rFonts w:ascii="arial" w:eastAsia="arial" w:hAnsi="arial" w:cs="arial"/>
          <w:color w:val="000000"/>
          <w:sz w:val="20"/>
          <w:lang w:val="en-US" w:eastAsia="en-US" w:bidi="ar-SA"/>
        </w:rPr>
        <w:t xml:space="preserve">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Material Price.</w:t>
      </w:r>
      <w:r>
        <w:rPr>
          <w:rFonts w:ascii="arial" w:eastAsia="arial" w:hAnsi="arial" w:cs="arial"/>
          <w:color w:val="000000"/>
          <w:sz w:val="20"/>
          <w:lang w:val="en-US" w:eastAsia="en-US" w:bidi="ar-SA"/>
        </w:rPr>
        <w:t xml:space="preserve"> If material costs increase over 5%, ALICAN will revisit the unit costs with CANPACIFIC. ALICAN will provide CANPACIFIC with new pricing documentation 1 month before new pricing is to go into effect. If material costs decrease under 5%, ALICAN will reduce the pricing. Prices will only increase or decrease to accommodate for material costs. For example, if material costs increase by 10%, then ALICAN will increase cost by 5%. If material costs decrease by 10%, then ALICAN will reduce cost by 5%. ALICAN will provide pricing documentation throughout the life of this contract.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Assembly.</w:t>
      </w:r>
      <w:r>
        <w:rPr>
          <w:rFonts w:ascii="arial" w:eastAsia="arial" w:hAnsi="arial" w:cs="arial"/>
          <w:color w:val="000000"/>
          <w:sz w:val="20"/>
          <w:lang w:val="en-US" w:eastAsia="en-US" w:bidi="ar-SA"/>
        </w:rPr>
        <w:t xml:space="preserve"> ALICAN will include the knob and handle assembled at no extra cost.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Quantity.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ALICAN has the capability of producing approximately 80,000 units per month. The first order will be for 30,000 units with CANPACIFIC's mold.</w:t>
      </w:r>
      <w:r>
        <w:rPr>
          <w:rFonts w:ascii="arial" w:eastAsia="arial" w:hAnsi="arial" w:cs="arial"/>
          <w:color w:val="000000"/>
          <w:sz w:val="20"/>
          <w:lang w:val="en-US" w:eastAsia="en-US" w:bidi="ar-SA"/>
        </w:rPr>
        <w:t xml:space="preserve"> CANPACIFIC will place the order, 45-60 days in advance, so that ALICAN can schedule production.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Delivery.</w:t>
      </w:r>
      <w:r>
        <w:rPr>
          <w:rFonts w:ascii="arial" w:eastAsia="arial" w:hAnsi="arial" w:cs="arial"/>
          <w:color w:val="000000"/>
          <w:sz w:val="20"/>
          <w:lang w:val="en-US" w:eastAsia="en-US" w:bidi="ar-SA"/>
        </w:rPr>
        <w:t xml:space="preserve">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Defects.</w:t>
      </w:r>
      <w:r>
        <w:rPr>
          <w:rFonts w:ascii="arial" w:eastAsia="arial" w:hAnsi="arial" w:cs="arial"/>
          <w:color w:val="000000"/>
          <w:sz w:val="20"/>
          <w:lang w:val="en-US" w:eastAsia="en-US" w:bidi="ar-SA"/>
        </w:rPr>
        <w:t xml:space="preserve"> In order to reduce the wastage, CANPACIFIC will assess delivered parts during assembly and will report any inherent production problems immediately to ALICAN. Any defect parts found during assembly will be replaced or a credit note will be issued to CANPACIFIC by ALICAN.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Payment terms.</w:t>
      </w: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Term and </w:t>
      </w:r>
      <w:r>
        <w:rPr>
          <w:rFonts w:ascii="arial" w:eastAsia="arial" w:hAnsi="arial" w:cs="arial"/>
          <w:b/>
          <w:color w:val="000000"/>
          <w:sz w:val="20"/>
          <w:lang w:val="en-US" w:eastAsia="en-US" w:bidi="ar-SA"/>
        </w:rPr>
        <w:t>Termination.</w:t>
      </w:r>
      <w:r>
        <w:rPr>
          <w:rFonts w:ascii="arial" w:eastAsia="arial" w:hAnsi="arial" w:cs="arial"/>
          <w:color w:val="000000"/>
          <w:sz w:val="20"/>
          <w:lang w:val="en-US" w:eastAsia="en-US" w:bidi="ar-SA"/>
        </w:rPr>
        <w:t xml:space="preserve"> If </w:t>
      </w:r>
      <w:r>
        <w:rPr>
          <w:rFonts w:ascii="arial" w:eastAsia="arial" w:hAnsi="arial" w:cs="arial"/>
          <w:color w:val="000000"/>
          <w:sz w:val="20"/>
          <w:u w:val="single"/>
          <w:lang w:val="en-US" w:eastAsia="en-US" w:bidi="ar-SA"/>
        </w:rPr>
        <w:t>CANPACIFIC is unable to fulfill a 1,000,000 unit target within 18 months, CANPACIFIC agrees to compensate ALICAN for the cost ALICAN invests into the new mold. The value of $30,000 will be prorated from 1 million units at the time of termination. CANPACIFIC also agrees to buy out the balance of the stock and material from the last order made by CANPACIFIC.</w:t>
      </w:r>
    </w:p>
    <w:p>
      <w:pPr>
        <w:numPr>
          <w:numId w:val="1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shall have the right to immediately terminate this Agreement at any time after the happening of any of the following events (i) the filing by the other party of a petition in any bankruptcy court or other relief under similar proceeding in any other jurisdiction, (ii) or the making by the other party of any assignment, composition or similar arrangement for the benefit of creditors.</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may terminate the Agreement if the other party fails to cure any material breach of any of the terms and conditions of this Agreement within 30 days of written notice of such breach.</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Excuse for Non-Performance.</w:t>
      </w:r>
      <w:r>
        <w:rPr>
          <w:rFonts w:ascii="arial" w:eastAsia="arial" w:hAnsi="arial" w:cs="arial"/>
          <w:color w:val="000000"/>
          <w:sz w:val="20"/>
          <w:lang w:val="en-US" w:eastAsia="en-US" w:bidi="ar-SA"/>
        </w:rPr>
        <w:t xml:space="preserve"> In the event either Party is prevented from performing its obligations under this Agreement by governmental act, regulation or order, war, interference, act of God, fire, storm, or any other cause beyond that Party's reasonable control, the Party shall be excused to the extent and for the period prevented.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Notices.</w:t>
      </w:r>
      <w:r>
        <w:rPr>
          <w:rFonts w:ascii="arial" w:eastAsia="arial" w:hAnsi="arial" w:cs="arial"/>
          <w:color w:val="000000"/>
          <w:sz w:val="20"/>
          <w:lang w:val="en-US" w:eastAsia="en-US" w:bidi="ar-SA"/>
        </w:rPr>
        <w:t xml:space="preserve"> ...</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xml:space="preserve">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FORCE MAJEURE:</w:t>
      </w:r>
      <w:r>
        <w:rPr>
          <w:rFonts w:ascii="arial" w:eastAsia="arial" w:hAnsi="arial" w:cs="arial"/>
          <w:color w:val="000000"/>
          <w:sz w:val="20"/>
          <w:lang w:val="en-US" w:eastAsia="en-US" w:bidi="ar-SA"/>
        </w:rPr>
        <w:t xml:space="preserve"> ...</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ENTIRE AGREEMENT/WAIVER:</w:t>
      </w:r>
      <w:r>
        <w:rPr>
          <w:rFonts w:ascii="arial" w:eastAsia="arial" w:hAnsi="arial" w:cs="arial"/>
          <w:color w:val="000000"/>
          <w:sz w:val="20"/>
          <w:lang w:val="en-US" w:eastAsia="en-US" w:bidi="ar-SA"/>
        </w:rPr>
        <w:t xml:space="preserve"> CANPACIFIC and ALICAN agree that this Agreement, including any/all Schedules and any documents incorporated herein by reference constitute the entire Agreement, and supersede any previous agreement, whether written or oral, between the parties relative to the subject matter contained herein. The provisions contained in this Agreement, including without limitation the requirements set out in this very sentence, may not be modified in any respect, except by a writing made and executed in the same manner as this Agreement. No omission or delay on the part of any party hereto in requiring a due and punctual fulfillment of the obligation of any other obligation hereunder, whether similar or otherwise, nor shall it be deemed to constitute a waiver of any remedy for the failure to perform such obligation.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VENUE/CHOICE OF LAW:</w:t>
      </w:r>
      <w:r>
        <w:rPr>
          <w:rFonts w:ascii="arial" w:eastAsia="arial" w:hAnsi="arial" w:cs="arial"/>
          <w:color w:val="000000"/>
          <w:sz w:val="20"/>
          <w:lang w:val="en-US" w:eastAsia="en-US" w:bidi="ar-SA"/>
        </w:rPr>
        <w:t xml:space="preserve">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SUCCESSORS AND ASSIGNS:</w:t>
      </w:r>
      <w:r>
        <w:rPr>
          <w:rFonts w:ascii="arial" w:eastAsia="arial" w:hAnsi="arial" w:cs="arial"/>
          <w:color w:val="000000"/>
          <w:sz w:val="20"/>
          <w:lang w:val="en-US" w:eastAsia="en-US" w:bidi="ar-SA"/>
        </w:rPr>
        <w:t xml:space="preserve"> ...</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SEVERABILITY: </w:t>
      </w:r>
      <w:r>
        <w:rPr>
          <w:rFonts w:ascii="arial" w:eastAsia="arial" w:hAnsi="arial" w:cs="arial"/>
          <w:color w:val="000000"/>
          <w:sz w:val="20"/>
          <w:lang w:val="en-US" w:eastAsia="en-US" w:bidi="ar-SA"/>
        </w:rPr>
        <w:t xml:space="preserve"> The invalidity or unenforceability of any provision of this Agreement, or any finding that this Agreement contains a gap, shall not affect the validity of the remaining provisions of this Agreement. Any invalid or unenforceable provision shall, to the extent permitted by law, be replaced and any gap shall be filled with such reasonable provisions as come closest to the parties intentions. This shall also apply to an obligation in terms of amount or time (period or date). In this case, such amount or period permitted by law shall be deemed to have been agreed upon from the beginning as comes closest to the invalid or unenforceable amount or time.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Except for the first three sentences of para. 4, and paras. 6 to 11, the remaining provisions of the TERMS AND CONDITIONS OF PURCHASE AGREEMENT were copied by Ms. Chong from a licensing agreement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Annex I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Annex 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Descriptions for attached drawings: </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drawing/part no(s), H005P1 and H005P2, ALICAN will modify the insert area H011M from a nut configuration to an injected shaft according to drawing/part no. H018P</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Bonding of parts H005P1 and H005P2; and parts H018P with H019P</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Cutter pin hole to match 4 mm</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Cutter groove area build up 0.003"</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Guide pin hole to match 4 mm</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Cutter pin bottom mold build up by 0.010"</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Bearing washers injected into H018P and H008P (button)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parties agree that despite the wording of Annex 1, there were no drawings attached to either Annex 1 or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Schedule A: Mutual Non-Disclosure Agreement is not relevant to the 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Chong testified that shortly after the parties signed the Contract, Mr. Ling forgot to show up for a meeting, and he forgot again when the meeting was rescheduled for the following day. This upset him because Mr. Ling had just been awarded the Contract and now acted like he no longer cared. As a result, he refused to talk to Mr. Ling. He never communicated with Mr. Ling again until shortly before he terminated the Contract on August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Ling agrees that for some reason he forgot to show up for a meeting with Mr. Chong and from then on Mr. Chong refused to speak to him. As a result, he selected Stanley Chan to be Alican's representative for communications with Mr.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Stanley Chan was at the material times Alican's Manufacturing Manager, and also the person responsible for getting Alican ISO certified in 1992. Mr. Chan, in his own words, became "the middle man" between Mr. Chong and Mr. Ling. He went to CanPacific's office whenever Mr. Chong wanted to meet or talk; afterwards, he relayed the information to Mr. Ling. Mr. Chan was the only person who documented any discussions or meetings. For what it is worth, it appears Mr. Chong and Mr. Ling had their falling out before the Contract was signed on February 5, 2004. I say this because Mr. Chan's February 4, 2004 e-mail to Mr. Chong confirms that on February 1 they had arranged to meet at Mr. Chong's office and set out the agenda which included a price review for the can opener, and the new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BREACHES OF CONTRACT ALLEGED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its amended statement of claim, CanPacific claims damages for breach of contract and wrongful conversion, and alleges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9</w:t>
      </w:r>
      <w:r>
        <w:rPr>
          <w:rFonts w:ascii="arial" w:eastAsia="arial" w:hAnsi="arial" w:cs="arial"/>
          <w:color w:val="000000"/>
          <w:sz w:val="20"/>
          <w:lang w:val="en-US" w:eastAsia="en-US" w:bidi="ar-SA"/>
        </w:rPr>
        <w:t>. Pursuant to the aforesaid agreement, the Plaintiff ordered, and the Defendant fulfilled, two purchase orders totaling 50,000 sets of parts (units) of the Can Opener, but in breach of the contract aforesaid, the Defendant did not produce sufficient units in a timely manner, contrary to its represented capability as set out in paragraph 6(f) of the aforesaid contract, resulting in damages to the Plaintiff for loss of profit and loss of opportunity in selling the units. Eventually the Plaintiff entered into a royalty agreement with a third party to have that third party manufacture units of the Can Opener to partially mitigate its loss, but the Plaintiff's damages for loss of profit and loss of opportunity remain on going, as the royalty does not create as much profit for the Plaintiff, as the Plaintiff would have gotten from sales of the units of the Can Opener had the Defendant performed the terms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w:t>
      </w:r>
      <w:r>
        <w:rPr>
          <w:rFonts w:ascii="arial" w:eastAsia="arial" w:hAnsi="arial" w:cs="arial"/>
          <w:color w:val="000000"/>
          <w:sz w:val="20"/>
          <w:lang w:val="en-US" w:eastAsia="en-US" w:bidi="ar-SA"/>
        </w:rPr>
        <w:t>. On or about April 6th, 2005, the Plaintiff sent to the Defendant a third purchase order for 50,000 units at $0.80 per unit and, simultaneously, asked for the return of the Plaintiff's Mold, which the Defendant had used to make the aforesaid 50,000 units. The Plaintiff further requested that the Defendant begin using their own mold, pursuant to the terms of the contract. In breach of the contract aforesaid, the Defendant failed or refused to return the Plaintiff's Mold, pursuant to the Plaintiff's request, made in April, 2005, as aforesaid.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11</w:t>
      </w:r>
      <w:r>
        <w:rPr>
          <w:rFonts w:ascii="arial" w:eastAsia="arial" w:hAnsi="arial" w:cs="arial"/>
          <w:color w:val="000000"/>
          <w:sz w:val="20"/>
          <w:lang w:val="en-US" w:eastAsia="en-US" w:bidi="ar-SA"/>
        </w:rPr>
        <w:t>. On July 13th, 2005, the Plaintiff again demanded the return of its Mold, but the Defendant failed or refused to return the aforesaid Mold, in spite of the Agreement, at paragraph 6(f), stipulating that the first order of units made by the Plaintiff from the Defendant will be for 30,000 units with the Plaintiff's Mold.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w:t>
      </w:r>
      <w:r>
        <w:rPr>
          <w:rFonts w:ascii="arial" w:eastAsia="arial" w:hAnsi="arial" w:cs="arial"/>
          <w:color w:val="000000"/>
          <w:sz w:val="20"/>
          <w:lang w:val="en-US" w:eastAsia="en-US" w:bidi="ar-SA"/>
        </w:rPr>
        <w:t>. In further breach of the terms of the Agreement, the Defendant had failed, by April of 2005, to manufacture any molds for production of units of the Can Opener. It was an implied term of the agreement that the Defendant was to manufacture new molds for production of the units of the Can Opener, for the Plaintiff, and it is normal custom and usage in the industry that the manufacturer of such molds would not exceed three months. In breach of the Agreement aforesaid, the Defendant had not manufactured new molds capable of producing units of the Can Opener by April of 2005, well over one year from the date of execution of the Agreement by the Plaintiff and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13</w:t>
      </w:r>
      <w:r>
        <w:rPr>
          <w:rFonts w:ascii="arial" w:eastAsia="arial" w:hAnsi="arial" w:cs="arial"/>
          <w:color w:val="000000"/>
          <w:sz w:val="20"/>
          <w:lang w:val="en-US" w:eastAsia="en-US" w:bidi="ar-SA"/>
        </w:rPr>
        <w:t>. In breach of the Agreement aforesaid, the Defendant failed or refused to deliver the additional 50,000 units of the Can Opener ordered by the Plaintiff, and further failed or refused to manufacture any more units of the Can Opener for the Plaintiff, with the result that the Plaintiff was unable to deliver units of the Can Opener to its customers, resulting in damages for lost sales and loss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Alican counterclaims for debt and damages arising from misrepresentations and alleges the following:</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Wun Chong induced Alican to agree to forego the charges that CanPacific had run up in 1998-2000 and left unpaid and instead to manufacture the Manual Can Opener product through representations (the "CanPacific Representations") made to Alican, repeated both before and after entering the Agreement referred to later herein, that: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aside from a few modifications that were set out on three drawings CanPacific had prepared, the mold was fit for the purpose intended of manufacturing defect-free, quality plastic parts for assembly to make the Manual Can Opener;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would guarantee the timely and adequate supply of metal and other parts (the "Accessories") to be incorporated with the plastic parts to be manufactured by Alican;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had done appropriate market research and would guarantee orders for at least 1,000,000 units;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obligation to provide a reasonable and orderly supply of materials to Alican, CanPacific:</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supplied Alican with Accessories sufficient to manufacture 50,000 units, notwithstanding that CanPacific had obtained 100,000 units worth of Accessories;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only ordered 50,000 units from Alican;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failed to provide supplies in a reasonably, timely or orderly manner or at all for the production of 1,000,000 units from Alican;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failed to order production of 1,000,000 units from Alican in a reasonably, timely or orderly manner or at all;</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CP Mold and the "Manual Can Opener" product made thereby have been fraught with problems due to CanPacific's negligent design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CanPacific Representations, particulars of which are: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mold is poorly designed and causes defective parts to be made; such as gating;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had ordered 10,000 units to be produced by Arcan, another manufacturer, which had suffered from substantial problems of cracking and failure, prior to making the CanPacific Representations;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itself was of poor design, leading to:</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cracking, breakage and jamming and complaints from purchasers;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changes directed both orally and in writing by CanPacific to Alican, including many changes that CanPacific provided no, or inadequate designs for, leading to design work having to be done by Alican personnel; and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has not been received well in the market and has not sold well, with CanPacific only selling 20,000 units and holding 30,000 in stock, largely due to CanPacific's negligent market studies and research, negligent design and the design problems described herein in relation to the "Manual Can Opener" product.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foregoing, and at the direct request and order of CanPacific, Alican has: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spent at least 427 hours of time (valued at $100.00 per hour) on design and modification services in excess of what the Agreement required, including:</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to the mold to overcome the cracking problems that CanPacific had experienced with the 10,000 unit production run from Arcan;</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to the mold to avoid assembly problems arising from washer thickness and size not working compatibly with the assembly;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CanPacific with design drawings by Alican, which CanPacific accepted;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performed 26 or more test runs (valued at $300.00 per run) for the benefit of CanPacific;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MOLD MODIFICATIONS AND DELIVERY OF THE CAN OPENER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800 pound prototype mold was delivered by CanPacific to Alican on February 9, 2004. Until then, Alican had no opportunity to inspect or test the mold. When it inspected the mold, Alican learned that it was not made of aluminum like most prototype molds. Instead the mold was made of hardened steel which meant that unlike an aluminum mold, the mold could not be cut or machined. The modifications had to be "burned" into the mold with an electrical discharge machine, which meant the modifications took significantly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Ling complains that in the draft contract sent to him by Ms. Chong's December 16, 2003 e-mail, clause 6(b) provided that the mold required only three modifications. Clause 6(b) of the draft contract reads:</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Molds.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Modification of borrowed mold.</w:t>
      </w:r>
      <w:r>
        <w:rPr>
          <w:rFonts w:ascii="arial" w:eastAsia="arial" w:hAnsi="arial" w:cs="arial"/>
          <w:color w:val="000000"/>
          <w:sz w:val="20"/>
          <w:lang w:val="en-US" w:eastAsia="en-US" w:bidi="ar-SA"/>
        </w:rPr>
        <w:t xml:space="preserve"> Alican will modify the handle pin hole areas by reversing the current hole design, according to drawing no(s). H005P2 and H005P2. And fix the insert area from the nut configuration to an injected shaft H018PPM. The cost of this modification will be Alican's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phrase "reversing the current hole design" in the first sentence amounts to two mold modifications. The second sentence refers to the third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clause 5(b) of the Contract which deals with modifications to the mold is significantly different. Clause 5(b) of the Contract reads:</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Modification of borrowed mold</w:t>
      </w:r>
      <w:r>
        <w:rPr>
          <w:rFonts w:ascii="arial" w:eastAsia="arial" w:hAnsi="arial" w:cs="arial"/>
          <w:color w:val="000000"/>
          <w:sz w:val="20"/>
          <w:lang w:val="en-US" w:eastAsia="en-US" w:bidi="ar-SA"/>
        </w:rPr>
        <w:t>. ALICAN will, at no charge, make modifications to the CANPACIFIC molds as shown in attached drawings CPH005P1, CPH005P2, CPH018P, CPH019P as described in Annex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Paragraph 3(l)(i) of the statement of defence alleges that the modification of the prototype mold should be in accordance with clause 6(b) of the draft contract. However, it is the Contract that governs, and not the draft contract. Alican cannot complain that CanPacific failed to comply with clause 6(b) of the draft contract, and no fault can be attributed to CanPacific -- at least, based on the evidence -- if Mr. Ling failed to read the Contract before 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Annex 1 was intended to describe the modifications that Alican was obligated to make to the prototype mold. At the time of the signing of the Contract, CanPacific had not provided Alican with the drawings described in Annex 1, or in fact,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drawings. Mr. Chong was of the view that drawings were "secret" and he was unwilling to disclose them to Mr. Ling or Alican until the parties had signed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Kevin Lam worked for CanPacific for five years starting in the summer of 2003. He designed various products, including the design modifications to the can opener after the plastic parts produced by Arcam turned out to be defective. He prepared the productions drawings (some of which are described in points 1 and 2 of Annex 1), and the detailed drawings using SolidWorks, a three-dimensional mechanical design software program. Mr. Lam placed copies of the drawings for the can opener on a CD on February 19, 2004, and only after that date did the CD, and any drawings, get delivered to Alican.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Lam explained that the plastic parts produced by Arcam split or cracked around the cutter pin hole area. The pin hole serves two purposes: to hold the guide pin that controls the cutter; and as a tool to lift the lid off the can after the lid has been cut. But the pin hole was too big and would fall off when used as a tool to lift off the lid. To remedy the problem he increased the volume of plastic around the pin hole, and reduced the size of the pin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Lam said that the drawings described in Annex 1 were preliminary design drawings he prepared to "convey ideas" and were not intended to be the final design drawings. He also explained the wording in items 1 and 2 of Annex 1, which read:</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drawing/part no(s), H005P1 and H005P2, ALICAN will modify the insert area H011M from a nut configuration to an injected shaft according to drawing/part no. H018P</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Bonding of parts H005P1 and H005P2; and parts H018P with H019P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Item 1 appears to the uninitiated to be one modification; but the first 8 words up to the word "Alican" refer to changes to the knob area of the can opener; the remaining words refer to the main body or handle of the can opener. Item 2 describes the bonding of various plastic parts (each plastic part has an identification number), but none of that is described in any of the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Thomas Knoll is a master craftsman mold maker who was called as a witness for CanPacific. Mr. Knoll learned his craft in Germany and Switzerland 38 years ago, and for the last 21 years has operated a plastic injection molding and mold making business in Surrey, British Columbia. The business specializes in low quantities of high quality plastic parts, such as expensive internal computer parts. He described can opener parts as being "middle of the road [plastic]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Knoll was asked in direct examination by counsel for CanPacific whether he could estimate the typical length of time between the building of a prototype mold and the building of the production mold. He replied that the main or "real goal" is to have the prototype mold last as long as possible during the process of building the production mold. He testified that there are typically many modifications that take place during the prototype mold development stage, because you are learning while building the mold, and attempting to build a mold that will enable the customer to produce the plastic parts as economically as possible. However, every modification requires the customer's approval, leading to the customer "signing off" on the final design of the prototype mold, before the production mold is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Knoll also testified that he builds prototype molds out of aluminum because aluminum can be machined faster and is more cost effective than building prototype molds with hardened steel, which is much less "forgiving" than aluminum.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March 4, 2004 Mr. Chong in writing approved an Alican drawing that set out the proposed modifications to the prototype mold. Alican began making the modifications, but ran into problems. On March 23, 2004 Alican began its initial test run on the prototype mold but found that the test could not be run; hence the mold was sent to the tool room for some "touch ups". A couple days later, Alican re-tried the test run and discovered that the cycle time for the larger prototype mold was 75 seconds, and the cycle time for the smaller prototype mold was 60 seconds. A cycle time of 75 seconds was more than double the 30 second cycle time stated by Mr. Chong. Another problem was that the mold exhibited sink marks and flashing. Sink marks occur when the molten plastic cools and pulls away from the mold surface. Flashing occurs when the mold does not fit well and molten plastic material escapes through the sides of the mold. Another problem was encountered during the third test run performed on April 21, 2004: the pin hole filled with plastic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Another modification was required when Mr. Chong asked for a hook so the can opener could hang on a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Alican keeps extensive business records, including test run reports which detail each time the prototype mold was run, the work carried out on the mold, and the work and time spent by each Alican employee on the project. Records disclose that each new modification to the prototype mold took approximately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May 18, 2004 CanPacific issued its first purchase order to Alican for 25,000 grey can opener units and 25,000 white can opener units, for a total of 50,000 can opener units. One unit being comprised of a handle and a knob.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early June 2004 Mr. Chong requested another modification: he wanted the can opener to have two hooks instead of one. In July 2004 Mr. Chong again requested Alican to make additional changes which in turn required further modifications to the prototype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this point Mr. Ling became concerned: Alican was losing money with Mr. Chong's repeated requests for modifications, the increased cycle time, and the fact that the prototype mold was poorly designed, produced inferior plastic parts and was not "ready for production". However, he felt that Alican could eventually recover its losses and make a profit once the production mold was operational and CanPacific ordered one million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Chan told Mr. Chong about the problems Alican was having with the prototype mold and the fact that it was losing money, but Mr. Chong refused to increase the price per unit. He later agreed to a small price increase when Alican resolved one of the design problems. The can opener was initially designed so that the metal parts were inserted after the molded plastic parts had cooled. However this contributed to the plastic cracking. To resolve this problem Alican proposed inserting the metal parts when the plastic parts were still 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July 20, 2004 the parties entered into a written Addendum to the Contract (the "Addendum") to provide that "at the time of plastic injection", the ring washer would be injected into the locking level, and the gripper shaft would be injected into the knob cover "at no extra cost" to CanPacific. In addition, Alican would assemble the various other metal parts for an additional cost of $0.03 per unit. This meant of course that unless CanPacific provided Alican with the metal parts, Alican could not produce the plastic parts according to the Contract and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June 16 and July 21, 2004 CanPacific delivered to Alican the necessary metal parts for 50,000 can opener units. On September 21, 2004 Alican delivered to CanPacific the first 500 assembled can opener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Chong said that after Alican delivered the first 500 can openers, he "pushed" Alican to increase production and start work on the production mold. In direct examination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Now, did you and Stanley Chan during this period of time and after the contract with Woo Jung was signed, did you and Stanley Chan have any discussions about whether or not you had somebody waiting for orders of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September 21st, the first time 500 can opener delivery us. That time first delivery 500 can openers. ... So I told we made somebody big order, come then, what to do. I need 30,000 can opener my warehouse, that is I want and then I push him to rush to my mold, use for my mold to 30,000 can opener.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What was the last two sentences? "I push,"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Push them to production faster. Then he told me my mold is maximum produce only 700 piece per us -- can opener per day. So impossible for delivery that fast, you get 30,000 unit your warehouse. So I told that time, "We first production mold." So they never start until that time. So I gave -- keep push them to making new mold for making faster production. So that is a discussion with him and also I push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Ling testified that Alican was never told that CanPacific was either getting or had received a large order for can openers (this is the Woo Jung agreement which I will discuss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Chan's evidence is similar. He testified that Mr. Chong told him that he needed more product, but he never mentioned quantities, or the fact that he or CanPacific had to deliver a certain quantity. Other than telling him that "we have very big business in the future" Mr. Chong gave him no details. As Mr. Chan stated, "we never know really what is happening" at CanPacific.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Chan and Mr. Ling's evidence on this point echoes what Mr. Chong and Ms. Chong indicated in their evidence: their business plans are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Alican delivered a total of 32,450 assembled units to CanPacific on the dates shown in the following table. Of this amount 347 units were defective and returned to Alican.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Delivery Date: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Units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941"/>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27, 2004</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255"/>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20, 2004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26, 2004</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046"/>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01,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08,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08,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10,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14, 2004</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21, 2004</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255"/>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06, 2005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24, 2005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046"/>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08, 2005</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5100</w:t>
            </w:r>
          </w:p>
        </w:tc>
        <w:tc>
          <w:tcPr>
            <w:tcW w:w="583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22, 2005</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32450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the middle of February 2005 CanPacific still wanted further modifications to the prototype mold, as shown by the following February 15, 2005 e-mail from Mr. Chan to Mr.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From: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Alican [info@alican.com]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Tuesday, February 15, 2005 2:09 PM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wun@thecanpros.com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Cc:</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Info@Alican.Com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Memorandum for February 14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Wun,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meeting on yesterday (02-14-05), hereunder is the memorandum.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Manual Can Opener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Price will be adjusted for the excluded works, I will list them out for your reference. Molds will be kept in our factory for continuing production until further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Re. Know, cover &amp; Cap - It is because you are going to change the material to nylon, due to the different of shrinkage of material, therefore, we have to modify the mold in order to fit for the knob. We will arrange the mold to be modified within shortly and Cherry will carry on the procedure and will contact you accordingly. Regarding the square cap, everything is good, there is nothing to be changed.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Re new can opener - more cavities.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planning how to start with this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including: - exchange our ideas which includes;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modify the front part close to the shaft in order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prevent of meat sticking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consider using ultrasonic welding instead of using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glue, thus to reduce wastage &amp; save more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We will follow up by discussing with our engineering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designer to have more information, so keep in touch.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Your participation to the new mold and your good ideas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 highly respected.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again Wun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the first week in March 2005 modifications were still being made, Mr. Chan and Mr. Chong were discussing when work would be starting on the new mold, and Mr. Chan was looking to CanPacific to issue a purchase order for another 50,000 can openers. Until then, more than a year after the Contract was entered into, CanPacific had only ordered the parts for 50,000 can openers. Mr. Chan in his e-mail of March 8, 2005 to Mr. Chong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From: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Alican [info@alican.com]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Tuesday, March 08, 2005 2:49 PM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wun@thecanpros.com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Cc:</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Info@Alican.Com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meeting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Morning Wun,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are you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is the summary of our meeting last week (03-04-05)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Re handle know, cover &amp; Cap</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Square cap - shrinkage and mark on top will be improved (not critical but preferable), size and dimension is ok</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Round handle improvement - diameter of top and bottom flashing and circles marks on top of he cover the tightness of the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modify the mold and final samples will be given before production. We are looking to start production within this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Manual can opener -</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few weeks of discussion regarding the price of this model, I am very happy to hear your proposal of increasing the price from $0.65 to $0.80 per set. Although it could not cover all the lost that we have suffered, but in fact your price suggested shown your great sincerity in our business with you. We will check our cost once again and see if we could manage to work on it. I will let you know ASAP.</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to make sure that you will have our supply continuously, please sent us your new PO of another 50,000 sets of can opener ASAP so that we could have our material and production planning ready in order to prevent from any unnecessary delay in future.</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 can opener (new mold) - we are trying to catch up this project and to co-operate with your sales promotion. Before the new mold is ready for production, you don't have to worry too much, because we will try our best to fulfill your delivery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thank you for your sincerity and your new order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was never any written complaint from CanPacific, or any written reply to any of Mr. Chan's e-mails. There is no evidence that Mr. Chong or anyone from CanPacific replied verbally to Mr. Chan's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MARKETING AND SELLING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indicated earlier, Ms. Chong and Mr. Kim looked after marketing the can opener, which was described in CrownWare's marketing material as the "CanPro Consumer Can Opener". They had product demonstrations at The Bay, Canadian Tire and various other locations. They also had dealings with local hardware and drug stores, and attended various trade shows. By January 2, 2004 CrownWare's "test market sales report" showed that it had sold a total of 1,051 can openers since November 28,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March 1, 2004 CrownWare entered into an agreement with Woo Jung Jan Soo Co. Ltd. ("Woo Jung"), a Korean company, giving Woo Jung the exclusive right (in a defined area) to purchase the can opener for a period of five years commencing March 1, 2004. Clause 4(a) of the agreement provided that the minimum quantities Woo Jung was to purchase was 100,000 units in the first year, 200,000 units in the second year, and 300,000 units in each of the remaining three years, with the minimum quantity "per purchase order" being 32,000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October 1, 2004 Woo Jung issued a purchase order to CrownWare for 16,000 white units and 16,000 grey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was argued that Mr. Chong told Mr. Chan that Woo Jung had ordered 32,000 units, but I prefer Mr. Chan's evidence that he was not informed of this order. Mr. Chan's evidence is consistent with Ms. Chong's evidence on this point. She was asked in cross-examination why Alican was never told about the Woo Jung order for 32,000 units. She replied that "we have our own business plans and we do find they are confidential especially when we're strategizing ... I'd consider this more a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Both Mr. Chong and Ms. Chong testified that when Mr. Chong's License Agreement with Bradshaw expired at the end of 2006, they did not want to renew the License Agreement. Instead they wanted an agreement with Bradshaw to manufacture the can opener for Bradshaw. They also wanted to be able to manufacture and sell the can openers to others, and hoped to have distributorship agreements in Europe, Australia, Asia,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March 2005 CrownWare had a small booth at the International Home and Housewares Show in Chicago. Ms. Chong did not attend the tradeshow, but Mr. Kim did. Mr. Kim did not testify but Ms. Chong testified that the Chicago tradeshow generated many sales leads and that sales representatives and distributors were interested in the can opener. The big buyers were interested in big orders, but CrownWare could not commit to any orders because they had no inventory. For the same reason, they were unable to follow up on any of the leads. Ms. Chong also testified that she knew from her conversations with Mr. Megorden in April 2005 that they needed a minimum of 30,000 to 50,000 units in inventory if they wanted to supply the big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April 6, 2005 CanPacific's second purchase order for a further 50,000 units was faxed to Alican. The purchase order includes a note that the price of $0.80 per unit included labour to insert the various metal parts into the plastic parts. The bottom of the purchase order contains the following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agreed between Stanley and Wun that Alican uses CanPacific's mold until Alican is able to build another mold for the can opener. Alican must return CanPacific's mold when requested. A condition of this purchase order is that Alican will must start to produce the mold as first contracted between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her direct examination Ms. Chong was asked about the note on the bottom of the purchase order and she testified that it was a condition of the purchase order that until CanPacific saw evidence that Alican had started the production mold, CanPacific was not ordering "even one plastic part". The last sentence was a condition that her father instructed her to include in the purchase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CanPacific never sent Alican any additional metal parts after the June 16 and July 21, 2004 deliveries, so Alican could not produce the can opener units to fulfill the second purchase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Megorden testified that he met with Mr. Chong and Ms. Chong in early April 2005 and saw their production and warehouse facilities in Delta. He was impressed by the machinery and the warehouse, but the main purpose of his visit was to begin negotiations for renewing the License Agreement. Although the License Agreement did not expire until December 2006, the cycle time in the world of houseware is about one year: the time it takes to market a product from design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Megorden testified that earlier in the year, Ms. Chong had sent him two can openers and asked him if Bradshaw could start buying the can openers from them and marketing them in the United States. He told her that based on the price she had quoted he did not think it was "workable". So another reason for his visit in April 2005 was to "hash out" what was workable, and what things would have to be done to make the can opener marketable from Bradshaw's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Megorden testified that during his April 2005 visit Ms. Chong's discussions with him focused on how CanPacific could replace Bradshaw's can opener manufacturer in Taiwan. However, from what he observed he felt that CanPacific did not have the ability to produce the kind of quantities Bradshaw needed. It was in his words "more like a cottage industry": the warehouse racks were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Following his visit. Mr. Megorden sent the following letter dated April 15, 2005 to Mr. Chong, Ms. Chong, and Mr. Kim: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15,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Wun C. Chong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Cindy A. Chong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Min Kim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CROWN WARE, Mfg.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7331 Vantage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Delta,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 V4G 1C9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gracious hospitality Friday. I am grateful for the food, the time and the attention you extended me. You Wun, have taken all your industrial canning experience and created important safety inventions that will help people even after your time. I enjoyed learning about your business and meeting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confirm some of the important points we discussed throughout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we wish to decide what we should do after 2006 regarding the Taiwan item. If you'll agree, by mid June 2005, to extend the agreement to 2011 than we will keep marketing the Taiwan item and keep paying royalty. Note that regardless of what we decide now in section 14 (whether $.17 or $.085) that we would expect royalty in the renewal term to be $0.085. Like we discussed this can opener meets a necessary under-$10 price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we need to decide by September/October if Can-Pros can deliver its item to Rancho Cucamonga for $4.25.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if in fact you can deliver the Can-Pro item for $4.25 we would [add] it to our line and explore ways to create a successful launch. As I mentioned we are just now trying to introduce our "4-in-1" Opener which adds 3 different openers to our existing Taiwan item. Our target retail price is $14.99-$19.99. But we've decided that grocery and drug stores probably won't succeed at these prices and so we're targeting specialty stores and mass merchants. By the time Cindy and Min come to our office to create a marketing strategy we'll have a better idea of this more expensive item's successes and can begin to budget Can-Pro's sales.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Bradshaw International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Wun C. Chong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Cindy A. Chong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Min Kim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enclosed some power bar hook samples; this might be a less expensive way to ship your customers who won't use the floor display.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BRADSHAW INTERNATIONAL,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Jeff Megorden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Megorden testified that after he sent his April 15, 2005 letter, Bradshaw was "straight armed" by Mr. Chong. He tried to explain to Mr. Chong that the dates in the letter were "real deadlines" -- but the deadlines kept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July 15, 2005 Mr. Chong telephoned Mr. Ling for the first time in a long time. Mr. Chong testified that he told Mr. Ling "to send me back the mold after producing 50,000 using the prototype mold as per the contract". The reason being one of the two plastic injection machines Mr. Chong had ordered had arrived, but the workers installing the machine needed a mold to test the machine. Mr. Chong said that he told Mr. Ling that he wanted the mold for just two or three days after which he would return it. Mr. Ling replied that he needed to finish 2,600 units and also told him "it's a little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Ling testified that after Alican received the second purchase order they asked for the metal parts many times but received no response. Mr. Ling said he became "suspicious" about Mr. Chong's intentions. He was suspicious whether Mr. Chong really planned to order 1 million units. He knew that CanPacific had only ordered 100,000 cutters (one of the metal parts) and Alican had used half of those cutters for the first purchase order. If they received the remaining 50,000 cutters for the second purchase order, CanPacific would have no more cutters. Mr. Ling said that he decided not to begin work on the new mold, which he estimated would cost another $50,000, until Alican received the metal parts for the second purchase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Ling testified that he grew more suspicious of Mr. Chong's intentions when he telephoned and asked him to return the prototype mold. Mr. Ling said that he proposed to Mr. Chong that he would return one mold, and when that mold was returned back to Alican, he would return the second mold but Mr. Chong refused his proposal. After the conversation, he then became concerned that if he returned both molds, CanPacific would not pay Alican for any of the modifications. He decided to ask CanPacific to sign a mold release form -- like any other customer -- and ask for payment for the modifications before he returned the molds. He sent the following letter dated July 18, 2005 to CanPacific: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Canpro</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18, 2005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Wun,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conversation on [July 15] Friday, I understood that: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injection Moulding Machine has arrived.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want to have all the molds back for test running the machine.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You confirmed that you will return the molds to us for running the 50,000 extra units, to complete the unmatched units, and give us the time to build the new mold.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Alican recognized that: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molds are your property.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still unpaid invoices waiting to be settled.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agreed in our new agreement that Alican was entitled to run another 50,000 units at the price of $0.80 each; and Alican will build its molds to run 1 million parts for you.</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our agreement, the quantity of the parts, we will produce for you, is large enough for us to eat all the molds modifications and even the new molds costs. Upon releasing the molds, if the molds are not shipped back to Alican (for any reason), there is no way we can recoup any money for the mold modification. Basically we are providing development service of your product to you for free!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Therefore, we would like you to fulfil the following prior to releasing the mold:</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find enclosed mold release form and study the term listed on the form.</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Alican all the unsettled invoices.</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Alican will charge all the unmatched parts in advance.</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Alican will charge you all the mold changes and the test run, which was requested by you (see enclosed spread sheet).</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molds will be shipped back to Alican for executing the new agreement within 3 weeks (suggested - TBD).</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money you paid for item 3 and 4 will be deducted from the future products produced for you.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Alican sincerely wants to work for you. As "Procession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is 90% of the Law", you have the absolute right to respect or cancel our agreement. To make sure our effort will be rewarded and also to protect your ultimate interest. We believe that our above-mentioned suggestion is a win-win proposal. Please understand that it is simply a simple business decision, which I would like you to respect. Of course, if you have any better suggestion, I'm very much willing to study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Looking forward to serving you in your future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Yours sincerely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Johnson Ling - General Manager Alican Mould &amp; Plastics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Ling's suspicion that Mr. Chong was not going to return the molds to enable Alican to complete the orders was not unfounded. Mr. Chong did not intend to return the prototype molds to Alican. He testified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your intention at that time to return your mould to Alican after you had done that test so they could run the second 50 --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is this the third 50,000?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to return to my conditional contract back to CanPacific.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had no intention of returning your molds to Alican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July 20, 2005 Mr. Ling faxed to Mr. Chong details of the 427 hours Alican had spent on modifications to the prototype mold, which included 10 modifications to the handle, 6 modifications to the turning knob, one modification to the thumb knob, and two modifications to the 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Chong as usual, did not respond. Instead, the lawyers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July 22, 2005 Mr. Arthur D.C. Ross of the firm Pryke Lambert Leathley Russell LLP, solicitors for CanPacific wrote to Alican demanding the immediate return of the mold, various parts, and three assembly jigs. The letter of July 22, 2005 also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informs us that you have issued two invoices, numbers 1258349P and 1258365P dated June 6th and June 21st, 2005 respectively. You have also issued a credit note against those invoices. Our client has provided us with an appropriate draft payable to you in the amount of $2,005.95 for these outstanding invoices upon return of our client's mold and the other items.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regrets taking this decision but advises that it issued a purchase order to you on April 6th, 2005 for various products and you have not confirmed that you will honour this purchase order. Apparently, you have insisted upon our client committing to the advance payment of modifications and run times you had agreed to do at no charge and you have insisted that our client agree to purchase one million parts from you before you will commit to the return of our client's mold. As there was no requirement on the part of our client to commit itself to such a guarantee or any minimum guarantee of orders, your demand is entirely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had the mold with an understanding that you will manufacture one of your own, but have taken no steps to make your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repeat that you are holding on to our client's property. Our client is entitled to have its property returned to it on demand.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do not confirm to this office by the close of business on Wednesday, July 27th, 2005, that you will make the referenced items available for pick up on or before Friday, July 29th, 2005, our client will pursue its legal remedies against you without further notice or demand. Without limiting our client's legal remedies, they include seeking an immediate court order for the return of its property and the costs of any such litigation from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July 26, 2005, Mr. Robert D. Holmes, of the firm Holmes &amp; King, solicitors for Alican replied to Mr. Ross,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letter you reference a "mold, parts and the jigs" (the "Mold") held by our client and set out your client's demand for its return. That demand is rejected. Your client is not entitled to the Mold until it has paid our client for our client's services in relation to the agreement the parties reached. Our client is entitled to assert and hereby asserts a lien against the Mold for its services and for the amounts it claims to be owing by CanPacific. It has reconditioned the Mold. It has sought to develop a modified Mold. It has had to store the Mold for months while your client dithered around trying to make a defective product work as it was supposed to and was represented by your client to 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letter from Mr. Holmes stated that on delivery of a trust cheque for $56,040.95 for the 427 hours of design and modification work, 26 test runs, and $2,005.95 for unpaid invoices, Alican would allow CanPacific to remove the prototype molds. The letter further went on to state that CanPacific was in material breach of the agreement between the parties, and set out in detail the background to the dealings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CanPacific's view was that it was Alican who breached the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letter dated August 5, 2005 Mr. Chong advised Alican that it had breached the Contract, and terminated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5,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Via Fax and Courier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230 - 12417 No. 2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Richmond,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V7E 2G3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Termination of Purchase Agreement dated February 5,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Alican Enterprise Inc. (also known as Alican Mould &amp; Plastics and hereafter referred to as "Alican") entered into a Purchase Agreement with CanPacific Engineering Inc. on February 5, 2004 which agreement was subsequently amended in writing by agreement on July 20,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Alican is in material breach of the terms of the contract. CanPacific Engineering Inc. hereby terminates the said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some of the material breaches of the Purchase Agreement are:</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deliver product in a timely manner as contemplated by the contract</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return the mold and accessory parts and jigs on demand and in the manner specified under the Purchase Agreement.</w:t>
      </w:r>
    </w:p>
    <w:p>
      <w:pPr>
        <w:numPr>
          <w:numId w:val="6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Demanding payment for services and products for which Alican had expressly agreed to demand no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CanPacific Engineering Inc. intends to pursue its legal remedies for these breaches.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CanPacific Engineering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Wun Chong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Pryke Lambert Leathley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August 22, 2005 Mr. Jean-Pierre Baron of Pinnacle Machine Inc. provided Mr. Chong a quote for two prototype plastic injection molds (one for the handle, and the other for the smaller pieces) for the can opener. Mr. Baron testified that he met Mr. Chong about two to three months earlier when Mr. Chong showed him the can opener and wanted to have two molds built for it. However, there were "many issues" and it took him about 10 months (to around June 2006) to build the molds. After four to six test runs, the molds were never finished, and he and Mr. Chong went their separate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Chong also contacted another company in Bellingham, Washington to "mass produce" the plastic parts, but the company did not build molds. Rather, it had them built by a company in Chicago, but that company would take 10 months to build a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action was commenced on March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Chong testified that early in March 2006 CrownWare again had a small booth at the Home and Housewares Show in Chicago. At that tradeshow Mr. Megorden and another Vice-President from Bradshaw asked her if her father was willing to renew the License Agreement. However, she and her father were still hoping to replace the License Agreement with "a better option". She had made a lot of contacts with potential distributors at the tradeshow and still believed there was "a lot of potential" for the can 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Despite CrownWare's efforts to manufacture and distribute the can opener, Ms. Chong testified that by June 2006, she and her father were "running out of options" and decided that it would be "better to bring back Bradshaw as an option". She had been telling Mr. Megorden for some time that they did not want to renew the License Agreement but time was running out and the License Agreement was getting close to expiring.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 CanPacific and for CrownWare nothing had changed: the large distributors and customers would not order any product unless CanPacific had sufficient product, and CanPacific had no product, or at least none of any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June 6, 2006 Mr. Megorden sent an e-mail to Ms. Chong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Cindy,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we'd be pleased to renew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as you know -- based on my conversations with you and your father and your intentions at the housewares show -- we've made plans to be out of the patented product by 12/31/2006. Everything we heard from you led us to believe you weren't interested in renewing the agreement. We've already began to convince our customers that they should buy another type of (non-infringing) opener in the retail space occupied by the patented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Megorden testified that he was worried that Mr. Chong did not want to renew the License Agreement and planned to compete with Bradshaw. As a result Bradshaw began taking the can opener off the market and replacing it with a similarly functioning product. The result was a precipitous drop in sales and royalties for Mr. Chong. It was only after Mr. Chong signed and renewed the License Agreement that Bradshaw "stopped taking out the Taiwanese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Ms. Chong put it, when her father signed the Renewal License Agreement, "it was the final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Renewal And Amendment Of Non-Exclusive Patent License Agreement ("Renewal Agreement") between Bradshaw and Mr. Chong is stated to be made as of October 25, 2006. The term of the Renewal Agreement is from January 1, 2007 to November 29, 2011, and the royalty was increased from $0.17 (US) per unit to $0.20 (US) per unit. After November 29, 2011 which is when Mr. Chong's Patent expires, Bradshaw no longer has to pay any royalties to Mr. Chong, and intends to continue having the can opener manufactured by the company in Taiwan.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2006 Mr. Chong tried to sell the two plastic injection molding machines he had bought as part of his "back-up" plan. He explained that he wanted to sell the machinery because once he signed the Renewal Agreement with Bradshaw his "initial plan" of selling the can openers to Bradshaw had failed to materialize, he had no large distributer, "... also partly my age, I reached 65 at the time" in 2006, and "I decided to kind of fold up the plant. And that's why I was trying to sell the machineries that I had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THE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is difficult to determine from the argument precisely what CanPacific claims, but as best I can determine, it claims damages of over $2.5 million from Alican for the following:</w:t>
      </w:r>
      <w:r>
        <w:rPr>
          <w:rFonts w:ascii="arial" w:eastAsia="arial" w:hAnsi="arial" w:cs="arial"/>
          <w:sz w:val="20"/>
          <w:lang w:val="en-US" w:eastAsia="en-US" w:bidi="ar-SA"/>
        </w:rPr>
        <w:cr/>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sales loss of $837,613.20 (US), had CanPacific entered into a manufacturing agreement with Bradshaw. This amount is based on a profit margin of $1.20 (US) per unit, and 689,011 units sold by Bradshaw in 2007 and 2008;</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of $1,182,000 (US), that resulted from the loss of the Woo Jung Contract. This is based on 1,200,000 units (the summation of the minimum quantities stated in the Woo Jung Contract), at $3.94 (US) per unit profit margin, yielding a total of $4,728,000. CanPacific claims 25 percent of $4,728,000 or $1,182,000 (US) as a reasonable estimate for lost opportunity; and</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Capital investment loss of $693,719.96 (CDN) for machinery and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Ignoring any currency differences, CanPacific's damage claim totals $2,713,333.16.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purpose of damages is to put the parties into the position they would have been if the Contract had not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Megorden's evidence does not support the conclusion that Bradshaw would have entered into a manufacturing contract with CanPacific for the can opener had the Contract been properly performed. It was not simply a question of replacing the manufacturing company in Taiwan. Mr. Megorden's evidence is that Bradshaw intended to continue to have the company in Taiwan manufacture the unit because of the lower price point, and Bradshaw's ability to sell the unit to the big box merchants and discount stores. The price at which Mr. Chong wanted to sell his can opener needed to target a different market, such as specialty or higher end stores. Bradshaw still needed to complete a number of steps, including perform a market test because the customers that would be purchasing the can opener were in Mr. Megorden's words, "a customer we don't have today". The most that Mr. Megorden could say was that if he had seen a warehouse full of assembled product, and pallets of can openers ready to be shipped out, he would have had "a higher level of comfort" or "been much more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CanPacific argues that it is entitled to the foregoing damages based on the implied terms of the Contract, and custom and usage that (1) "... the parties intended that the first 30,000 units would be produced using the Plaintiff's prototype mold and thereafter production would be with the new mold"; (2) "the new mold would be built within 8 weeks to three months after the first test run was approved"; and (3) thereafter, Alican was obliged to produce 80,000 units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Alican counterclaims for breach of contract, CanPacific's failure to order only 50,000 units, and claims $52,505.95 in damages for the following:</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costs totalling $42,700 (427 hours x $100 per hour) for modifications made to the prototype mold;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totalling $7,800 (26 test runs x $300 per run) for the prototype mold test runs;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Unpaid invoices less credit for returned product totalling $2,005.95. This amount is based on the balance owing for Invoices I258365P ($1,441.42) and I258349P ($928.28) and the credit for I258365P ($363.75).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ANALYSIS OF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Principles of Contract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Perrin v. Shortreed Joint Venture Ltd.</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2009 BCCA 478</w:t>
        </w:r>
      </w:hyperlink>
      <w:r>
        <w:rPr>
          <w:rFonts w:ascii="arial" w:eastAsia="arial" w:hAnsi="arial" w:cs="arial"/>
          <w:color w:val="000000"/>
          <w:sz w:val="20"/>
          <w:lang w:val="en-US" w:eastAsia="en-US" w:bidi="ar-SA"/>
        </w:rPr>
        <w:t>, the British Columbia Court of Appeal summarized the law relating to the principles of contractual interpretation at paras. 23-27: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parties are in agreement on the applicable law on the construction of contractual provisions. In the absence of any ambiguity in the words of an agreement, the intention of the parties is to be determined objectively by attributing a meaning to the words that would be conveyed to "a reasonable person having all the background knowledge which would reasonably have been available to the parties in the situation in which they were at the time of the contract": </w:t>
      </w:r>
      <w:r>
        <w:rPr>
          <w:rFonts w:ascii="arial" w:eastAsia="arial" w:hAnsi="arial" w:cs="arial"/>
          <w:i/>
          <w:color w:val="000000"/>
          <w:sz w:val="20"/>
          <w:lang w:val="en-US" w:eastAsia="en-US" w:bidi="ar-SA"/>
        </w:rPr>
        <w:t>Investor's Compensation Scheme Ltd. v. West Bromwhich Building Society</w:t>
      </w:r>
      <w:r>
        <w:rPr>
          <w:rFonts w:ascii="arial" w:eastAsia="arial" w:hAnsi="arial" w:cs="arial"/>
          <w:color w:val="000000"/>
          <w:sz w:val="20"/>
          <w:lang w:val="en-US" w:eastAsia="en-US" w:bidi="ar-SA"/>
        </w:rPr>
        <w:t>, [1998] 1 All E.R. 98 at 114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Aquadel Golf Course Limited v. Lindell</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2009 BCCA 5</w:t>
        </w:r>
      </w:hyperlink>
      <w:r>
        <w:rPr>
          <w:rFonts w:ascii="arial" w:eastAsia="arial" w:hAnsi="arial" w:cs="arial"/>
          <w:color w:val="000000"/>
          <w:sz w:val="20"/>
          <w:lang w:val="en-US" w:eastAsia="en-US" w:bidi="ar-SA"/>
        </w:rPr>
        <w:t>, Chief Justice Finch, for the Court, summarized the settled law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also settled law that in construing an agreement the intention of the parties must be determined from the words of the contract read as a whole. In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47 B.C.L.R. (4th) 278</w:t>
        </w:r>
      </w:hyperlink>
      <w:r>
        <w:rPr>
          <w:rFonts w:ascii="arial" w:eastAsia="arial" w:hAnsi="arial" w:cs="arial"/>
          <w:color w:val="000000"/>
          <w:sz w:val="20"/>
          <w:lang w:val="en-US" w:eastAsia="en-US" w:bidi="ar-SA"/>
        </w:rPr>
        <w:t>, this Court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plain and ordinary meaning must be given to words in a contract unless to do so would result in an absurdity: </w:t>
      </w:r>
      <w:r>
        <w:rPr>
          <w:rFonts w:ascii="arial" w:eastAsia="arial" w:hAnsi="arial" w:cs="arial"/>
          <w:i/>
          <w:color w:val="000000"/>
          <w:sz w:val="20"/>
          <w:lang w:val="en-US" w:eastAsia="en-US" w:bidi="ar-SA"/>
        </w:rPr>
        <w:t>Ex parte Walton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Levy</w:t>
      </w:r>
      <w:r>
        <w:rPr>
          <w:rFonts w:ascii="arial" w:eastAsia="arial" w:hAnsi="arial" w:cs="arial"/>
          <w:color w:val="000000"/>
          <w:sz w:val="20"/>
          <w:lang w:val="en-US" w:eastAsia="en-US" w:bidi="ar-SA"/>
        </w:rPr>
        <w:t xml:space="preserve"> (1881), 17 Ch.D. 746 (C.A.). Words must be interpreted in light of the whole of the contract and the intention of the parties expressed therein. In construing contracts, the court assumes that the words in the contract are there for a purpose and "reject an interpretation that would render one of [the contract's] terms ineffective" (</w:t>
      </w:r>
      <w:r>
        <w:rPr>
          <w:rFonts w:ascii="arial" w:eastAsia="arial" w:hAnsi="arial" w:cs="arial"/>
          <w:i/>
          <w:color w:val="000000"/>
          <w:sz w:val="20"/>
          <w:lang w:val="en-US" w:eastAsia="en-US" w:bidi="ar-SA"/>
        </w:rPr>
        <w:t>National Trust Co. v. Mead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(1990), 71 D.L.R. (4th) 488</w:t>
        </w:r>
      </w:hyperlink>
      <w:r>
        <w:rPr>
          <w:rFonts w:ascii="arial" w:eastAsia="arial" w:hAnsi="arial" w:cs="arial"/>
          <w:color w:val="000000"/>
          <w:sz w:val="20"/>
          <w:lang w:val="en-US" w:eastAsia="en-US" w:bidi="ar-SA"/>
        </w:rPr>
        <w:t xml:space="preserve"> at 499).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Court cited </w:t>
      </w:r>
      <w:r>
        <w:rPr>
          <w:rFonts w:ascii="arial" w:eastAsia="arial" w:hAnsi="arial" w:cs="arial"/>
          <w:i/>
          <w:color w:val="000000"/>
          <w:sz w:val="20"/>
          <w:lang w:val="en-US" w:eastAsia="en-US" w:bidi="ar-SA"/>
        </w:rPr>
        <w:t>Scanlon v. Castlepoint Development Corp</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(1992), 99 D.L.R. (4th) 153</w:t>
        </w:r>
      </w:hyperlink>
      <w:r>
        <w:rPr>
          <w:rFonts w:ascii="arial" w:eastAsia="arial" w:hAnsi="arial" w:cs="arial"/>
          <w:color w:val="000000"/>
          <w:sz w:val="20"/>
          <w:lang w:val="en-US" w:eastAsia="en-US" w:bidi="ar-SA"/>
        </w:rPr>
        <w:t>, where Robins J.A. said at 179: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agreement with which we are concerned is a negotiated commercial document which should be construed in accordance with sound commercial principles and good business sense. To the extent that it is possible to do so, it should be construed as a whole and effect should be given to all of its provisions. The provisions should be read, not as standing alone, but in light of the agreement as a whole and the other provisions thereof: </w:t>
      </w:r>
      <w:r>
        <w:rPr>
          <w:rFonts w:ascii="arial" w:eastAsia="arial" w:hAnsi="arial" w:cs="arial"/>
          <w:i/>
          <w:color w:val="000000"/>
          <w:sz w:val="20"/>
          <w:lang w:val="en-US" w:eastAsia="en-US" w:bidi="ar-SA"/>
        </w:rPr>
        <w:t>Hillis Oil &amp; Sales Ltd. v. Wynn's Canada Ltd.</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(1986), 25 D.L.R. (4th) 649</w:t>
        </w:r>
      </w:hyperlink>
      <w:r>
        <w:rPr>
          <w:rFonts w:ascii="arial" w:eastAsia="arial" w:hAnsi="arial" w:cs="arial"/>
          <w:color w:val="000000"/>
          <w:sz w:val="20"/>
          <w:lang w:val="en-US" w:eastAsia="en-US" w:bidi="ar-SA"/>
        </w:rPr>
        <w:t xml:space="preserve"> at p. 655, </w:t>
      </w:r>
      <w:hyperlink r:id="rId210" w:history="1">
        <w:r>
          <w:rPr>
            <w:rFonts w:ascii="arial" w:eastAsia="arial" w:hAnsi="arial" w:cs="arial"/>
            <w:i/>
            <w:color w:val="0077CC"/>
            <w:sz w:val="20"/>
            <w:u w:val="single"/>
            <w:shd w:val="clear" w:color="auto" w:fill="FFFFFF"/>
            <w:lang w:val="en-US" w:eastAsia="en-US" w:bidi="ar-SA"/>
          </w:rPr>
          <w:t>[1986] 1 S.C.R. 57</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71 N.S.R. (2d) 353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We were also referred to </w:t>
      </w:r>
      <w:r>
        <w:rPr>
          <w:rFonts w:ascii="arial" w:eastAsia="arial" w:hAnsi="arial" w:cs="arial"/>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(2000), 73 B.C.L.R. (3d) 102</w:t>
        </w:r>
      </w:hyperlink>
      <w:r>
        <w:rPr>
          <w:rFonts w:ascii="arial" w:eastAsia="arial" w:hAnsi="arial" w:cs="arial"/>
          <w:color w:val="000000"/>
          <w:sz w:val="20"/>
          <w:lang w:val="en-US" w:eastAsia="en-US" w:bidi="ar-SA"/>
        </w:rPr>
        <w:t xml:space="preserve"> (at paras. 17 and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factual matrix of a contract is also material to a correct interpretation of its provisions. It is important to ensure that the plain and ordinary meaning of a contract's language is not excluded by the context in which it was made. In </w:t>
      </w:r>
      <w:r>
        <w:rPr>
          <w:rFonts w:ascii="arial" w:eastAsia="arial" w:hAnsi="arial" w:cs="arial"/>
          <w:i/>
          <w:color w:val="000000"/>
          <w:sz w:val="20"/>
          <w:lang w:val="en-US" w:eastAsia="en-US" w:bidi="ar-SA"/>
        </w:rPr>
        <w:t>Black Swan Gold Mines Ltd. v. Goldbelt Resources Ltd.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(1996), 25 B.C.L.R. (3d) 285</w:t>
        </w:r>
      </w:hyperlink>
      <w:r>
        <w:rPr>
          <w:rFonts w:ascii="arial" w:eastAsia="arial" w:hAnsi="arial" w:cs="arial"/>
          <w:color w:val="000000"/>
          <w:sz w:val="20"/>
          <w:lang w:val="en-US" w:eastAsia="en-US" w:bidi="ar-SA"/>
        </w:rPr>
        <w:t xml:space="preserve"> (C.A.) Donald J.A., for the Court,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 These words, standing alone, are capable of carrying a meaning and their sense does not depend on the surrounding circumstances. When the admissible evidence as to the circumstances is considered, as it was quite properly by the learned trial judge, it will be seen that the ordinary meaning of the words comfortably fits in the matrix. The context does not contradict the 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He further cautioned at para. 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words of the contract must not be overwhelmed by a contextual analysis, otherwise there is little point in writing things down. No certainty could be achieved in choosing words to express a bargain. Contract disputes would have to be resolved by lengthy inquiries into what was fair in light of what happened before, during and after the making of a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Lastly, there is a presumption against adding unexpressed terms to a contract by necessary implication unless "it goes without saying" or is necessary to give business efficacy to the contract. Any implied terms must also be capable of clear expression and must not contradict any express term of the contract. Further, the onus is on the party seeking to establish an implied term. See </w:t>
      </w:r>
      <w:r>
        <w:rPr>
          <w:rFonts w:ascii="arial" w:eastAsia="arial" w:hAnsi="arial" w:cs="arial"/>
          <w:i/>
          <w:color w:val="000000"/>
          <w:sz w:val="20"/>
          <w:lang w:val="en-US" w:eastAsia="en-US" w:bidi="ar-SA"/>
        </w:rPr>
        <w:t>Olympic Industries Inc. v. McNeill</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at para. 31 (C.A.) and </w:t>
      </w:r>
      <w:r>
        <w:rPr>
          <w:rFonts w:ascii="arial" w:eastAsia="arial" w:hAnsi="arial" w:cs="arial"/>
          <w:i/>
          <w:color w:val="000000"/>
          <w:sz w:val="20"/>
          <w:lang w:val="en-US" w:eastAsia="en-US" w:bidi="ar-SA"/>
        </w:rPr>
        <w:t>Village Gate Resorts Ltd. v. Moore</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(1997), 47 B.C.L.R. (3d) 153</w:t>
        </w:r>
      </w:hyperlink>
      <w:r>
        <w:rPr>
          <w:rFonts w:ascii="arial" w:eastAsia="arial" w:hAnsi="arial" w:cs="arial"/>
          <w:color w:val="000000"/>
          <w:sz w:val="20"/>
          <w:lang w:val="en-US" w:eastAsia="en-US" w:bidi="ar-SA"/>
        </w:rPr>
        <w:t xml:space="preserve"> at para. 25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Grace Residences Ltd. v. Whitewater Concrete Ltd.</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2009 BCCA 144</w:t>
        </w:r>
      </w:hyperlink>
      <w:r>
        <w:rPr>
          <w:rFonts w:ascii="arial" w:eastAsia="arial" w:hAnsi="arial" w:cs="arial"/>
          <w:color w:val="000000"/>
          <w:sz w:val="20"/>
          <w:lang w:val="en-US" w:eastAsia="en-US" w:bidi="ar-SA"/>
        </w:rPr>
        <w:t>, the British Columbia Court of Appeal provided the following discussion on the principles of contractual interpretation at paras. 23-25: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principles of contractual interpretation were considered in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47 B.C.L.R. (4th) 278</w:t>
        </w:r>
      </w:hyperlink>
      <w:r>
        <w:rPr>
          <w:rFonts w:ascii="arial" w:eastAsia="arial" w:hAnsi="arial" w:cs="arial"/>
          <w:color w:val="000000"/>
          <w:sz w:val="20"/>
          <w:lang w:val="en-US" w:eastAsia="en-US" w:bidi="ar-SA"/>
        </w:rPr>
        <w:t xml:space="preserve"> (C.A.) at paras. 20-21. They can be summarized as follows: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must be given their plain and ordinary meaning unless to do so would result in an absurdity;</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must be interpreted in light of the whole of the contract and the intention of the parties expressed therein; and</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assumes that the words in a contract are there for a purpose; it may reject an interpretation that would render one of the contract's terms ineffective.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More recently in </w:t>
      </w:r>
      <w:r>
        <w:rPr>
          <w:rFonts w:ascii="arial" w:eastAsia="arial" w:hAnsi="arial" w:cs="arial"/>
          <w:i/>
          <w:color w:val="000000"/>
          <w:sz w:val="20"/>
          <w:lang w:val="en-US" w:eastAsia="en-US" w:bidi="ar-SA"/>
        </w:rPr>
        <w:t>Chuddy v. Merchant Law Group</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300 D.L.R. (4th) 56</w:t>
        </w:r>
      </w:hyperlink>
      <w:r>
        <w:rPr>
          <w:rFonts w:ascii="arial" w:eastAsia="arial" w:hAnsi="arial" w:cs="arial"/>
          <w:color w:val="000000"/>
          <w:sz w:val="20"/>
          <w:lang w:val="en-US" w:eastAsia="en-US" w:bidi="ar-SA"/>
        </w:rPr>
        <w:t>, Mr. Justice Smith, in dissenting reasons, provided a helpful summary of the principles of contractual interpretation: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[207] The relevant principles of contractual interpretation are well-settled. The court must determine what the parties meant by the language they used in their written agreement, viewed objectively in the context of the circumstances in which the agreement was made. Evidence of the subjective intent of one or other party is inadmissible for that purpose. Where the language used is unambiguous, extrinsic evidence is not admissible to alter, vary, interpret, or contradict the words used in the contract. Resort to extrinsic evidence is normally permissible only when the document contains an ambiguity in the sense that "after considering the agreement itself, including the particular words used in their immediate context and in the context of the agreement as a whole, there remain two reasonable alternative interpretations". If there is such an ambiguity in the words used, the court should interpret them in a manner that accords with commercial reality and that avoids a commercial absurdity.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Thus, the starting point for any inquiry into the meaning of a contractual provision is the words of the agreement. The words must be viewed objectively, using their plain and ordinary meaning, in the context of the circumstances surrounding the making of the agreement. The Court may only consider extrinsic evidence to ascertain the meaning of the words based on the intention of the parties, if the meaning of the words cannot be determined or, when viewed objectively, they raise two or more reasonable interpretations: </w:t>
      </w:r>
      <w:r>
        <w:rPr>
          <w:rFonts w:ascii="arial" w:eastAsia="arial" w:hAnsi="arial" w:cs="arial"/>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73 B.C.L.R. (3d) 102</w:t>
        </w:r>
      </w:hyperlink>
      <w:r>
        <w:rPr>
          <w:rFonts w:ascii="arial" w:eastAsia="arial" w:hAnsi="arial" w:cs="arial"/>
          <w:color w:val="000000"/>
          <w:sz w:val="20"/>
          <w:lang w:val="en-US" w:eastAsia="en-US" w:bidi="ar-SA"/>
        </w:rPr>
        <w:t xml:space="preserve"> at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Leggett &amp; Platt Canada Co. v. Brink Forest Products Ltd.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2010 BCCA 14</w:t>
        </w:r>
      </w:hyperlink>
      <w:r>
        <w:rPr>
          <w:rFonts w:ascii="arial" w:eastAsia="arial" w:hAnsi="arial" w:cs="arial"/>
          <w:color w:val="000000"/>
          <w:sz w:val="20"/>
          <w:lang w:val="en-US" w:eastAsia="en-US" w:bidi="ar-SA"/>
        </w:rPr>
        <w:t>, Chief Justice Finch set out the following on the principles of contractual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principles of contractual interpretation are stated by Geoff Hall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xml:space="preserve"> 1st ed. (Markham: LexisNexis,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At pg. 8, Hall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of a contract always begins with the words it uses. All of the various aspects of contractual interpretation are rooted in the actual language used by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Hall further states at pgs. 9-10: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words of a contract must always be the starting point for interpretation, it is an overstatement to say that the interpretive exercise can ever end with them because context is always important to discerning meaning accurately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Context has two separate aspects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aspect, the context of the document, is important because words are never used in isolation. As a result, interpretation of a word or group of words must have regard for the way language is used in the document as a whole. This element of context is given effect by the rule that contracts must be read as a whole with meaning given to all provisions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aspect is the context of the surrounding circumstances which give rise to the contract. There is always a background to a contract. Whether simple or complex, the background is essential to discerning its correct meaning. In contractual interpretation, this aspect of context is given effect by the rule that the factual matrix must be considered when interpreting a contract.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Principles Relating to Implied Terms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principles governing implied terms of a contract are set out in two Supreme Court of Canada decisions: </w:t>
      </w:r>
      <w:r>
        <w:rPr>
          <w:rFonts w:ascii="arial" w:eastAsia="arial" w:hAnsi="arial" w:cs="arial"/>
          <w:i/>
          <w:color w:val="000000"/>
          <w:sz w:val="20"/>
          <w:lang w:val="en-US" w:eastAsia="en-US" w:bidi="ar-SA"/>
        </w:rPr>
        <w:t>Canadian Pacific Hotels Ltd. v. Bank of Montreal</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Pacific Hotels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M.J.B.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M.J.B.,</w:t>
      </w:r>
      <w:r>
        <w:rPr>
          <w:rFonts w:ascii="arial" w:eastAsia="arial" w:hAnsi="arial" w:cs="arial"/>
          <w:color w:val="000000"/>
          <w:sz w:val="20"/>
          <w:lang w:val="en-US" w:eastAsia="en-US" w:bidi="ar-SA"/>
        </w:rPr>
        <w:t xml:space="preserve"> the Court summarized the three categories by which terms can be implied in a contract at 635 as follows:</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custom or usage;</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legal incidents of a particular class or kind of contract; or</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presumed intention of the parties where the implied term must be necessary "to give business efficacy to a contract or as otherwise meeting the 'officious bystander' test as a term which the parties would say, if questioned, that they had obviously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first and third categories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custom and usage; officious bystander test/business efficacy) depend on the presumed intention of the parties to the contract, while the second category (implication as a matter of law as a legal incident of a particular kind of contract) is independent of the parties' presumed intention. This was explained by McLachlin J. (as she then was) when referring to </w:t>
      </w:r>
      <w:r>
        <w:rPr>
          <w:rFonts w:ascii="arial" w:eastAsia="arial" w:hAnsi="arial" w:cs="arial"/>
          <w:i/>
          <w:color w:val="000000"/>
          <w:sz w:val="20"/>
          <w:lang w:val="en-US" w:eastAsia="en-US" w:bidi="ar-SA"/>
        </w:rPr>
        <w:t>Canadian Pacific Hotels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Machtinger v. HOJ Industries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986</w:t>
      </w:r>
      <w:r>
        <w:rPr>
          <w:rFonts w:ascii="arial" w:eastAsia="arial" w:hAnsi="arial" w:cs="arial"/>
          <w:color w:val="000000"/>
          <w:sz w:val="20"/>
          <w:lang w:val="en-US" w:eastAsia="en-US" w:bidi="ar-SA"/>
        </w:rPr>
        <w:t>, at 1009-1010: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this analysis is fully in accordance with the decision of this Court in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that case Le Dain J. analyzed the bases upon which a term may be implied in a contract. The first category includes terms implied as a matter of custom or usage. In order for a term to be implied on this basis there must be evidence to support an inference that the parties to the contract would have understood such a custom or usage to be applicable; terms are implied in this manner on the basis of a presumed intention. The second category encompasses terms implied as necessary to give business efficacy to a contract. These are terms which the parties to a given contract would obviously have assumed. They are thus also implied on the basis of presumed intention, and correspond to Treitel's category of terms implied in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final category of implied terms considered in </w:t>
      </w:r>
      <w:r>
        <w:rPr>
          <w:rFonts w:ascii="arial" w:eastAsia="arial" w:hAnsi="arial" w:cs="arial"/>
          <w:i/>
          <w:color w:val="000000"/>
          <w:sz w:val="20"/>
          <w:lang w:val="en-US" w:eastAsia="en-US" w:bidi="ar-SA"/>
        </w:rPr>
        <w:t>CP Hotels, supra</w:t>
      </w:r>
      <w:r>
        <w:rPr>
          <w:rFonts w:ascii="arial" w:eastAsia="arial" w:hAnsi="arial" w:cs="arial"/>
          <w:color w:val="000000"/>
          <w:sz w:val="20"/>
          <w:lang w:val="en-US" w:eastAsia="en-US" w:bidi="ar-SA"/>
        </w:rPr>
        <w:t>, is the one applicable in the present case. These are terms implied not on the basis of presumed intention, but "as legal incidents of a particular class or kind of contract, the nature and content of which have to be largely determined by implication" (p. 776). These correspond to Treitel's category of terms implied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second category does not depend on evidence, since implying a term under this category is a matter of law. This was explained by Doherty J.A. of the Ontario Court of Appeal in </w:t>
      </w:r>
      <w:r>
        <w:rPr>
          <w:rFonts w:ascii="arial" w:eastAsia="arial" w:hAnsi="arial" w:cs="arial"/>
          <w:i/>
          <w:color w:val="000000"/>
          <w:sz w:val="20"/>
          <w:lang w:val="en-US" w:eastAsia="en-US" w:bidi="ar-SA"/>
        </w:rPr>
        <w:t>Haldane v. Shelbar Enterprises Ltd.</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(1999), 46 O.R. (3d) 206</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addition to implying terms into a contract through custom and usage, or to accord with the presumed intention of the parties, a term may be implied into a contract as a matter of law. This kind of implication does not depend on evidence but is seen as a legal incident of a particular kind of contract. Terms are implied into a contract by law where they are "necessary in a practical sense to the fair functioning of the agreement": </w:t>
      </w:r>
      <w:r>
        <w:rPr>
          <w:rFonts w:ascii="arial" w:eastAsia="arial" w:hAnsi="arial" w:cs="arial"/>
          <w:i/>
          <w:color w:val="000000"/>
          <w:sz w:val="20"/>
          <w:lang w:val="en-US" w:eastAsia="en-US" w:bidi="ar-SA"/>
        </w:rPr>
        <w:t>Machtinger v. H.O.J. Industries Ltd., supra, per</w:t>
      </w:r>
      <w:r>
        <w:rPr>
          <w:rFonts w:ascii="arial" w:eastAsia="arial" w:hAnsi="arial" w:cs="arial"/>
          <w:color w:val="000000"/>
          <w:sz w:val="20"/>
          <w:lang w:val="en-US" w:eastAsia="en-US" w:bidi="ar-SA"/>
        </w:rPr>
        <w:t xml:space="preserve"> McLachlin J., in dissent, at p. 1010.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However, CanPacific is not relying on implied terms as a matter of law, but on the first and third categories, that is implied terms on the basis of custom and usage, and implied terms on the basis of business efficacy or the officious bystander.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As the first and third categories are based on presumed intention, the analysis is a factual determination based on the evidence. This was discussed by Sharpe J.A. of the Ontario Court of Appeal in </w:t>
      </w:r>
      <w:r>
        <w:rPr>
          <w:rFonts w:ascii="arial" w:eastAsia="arial" w:hAnsi="arial" w:cs="arial"/>
          <w:i/>
          <w:color w:val="000000"/>
          <w:sz w:val="20"/>
          <w:lang w:val="en-US" w:eastAsia="en-US" w:bidi="ar-SA"/>
        </w:rPr>
        <w:t>Venture Capital USA Inc. v. Yorkton Securities Inc.</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(2005), 75 O.R. (3d) 325</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[1999] S.C.J. No. 17</w:t>
        </w:r>
      </w:hyperlink>
      <w:r>
        <w:rPr>
          <w:rFonts w:ascii="arial" w:eastAsia="arial" w:hAnsi="arial" w:cs="arial"/>
          <w:color w:val="000000"/>
          <w:sz w:val="20"/>
          <w:lang w:val="en-US" w:eastAsia="en-US" w:bidi="ar-SA"/>
        </w:rPr>
        <w:t xml:space="preserve">, at para. 27, Iacobucci J. made clear that a contractual term may be implied "based on the presumed intention of the parties where the implied term must be necessary 'to give business efficacy to a contract or as otherwise meeting the "officious bystander" test as a term which the parties would say, if questioned, that they had obviously assumed'" (citing </w:t>
      </w:r>
      <w:r>
        <w:rPr>
          <w:rFonts w:ascii="arial" w:eastAsia="arial" w:hAnsi="arial" w:cs="arial"/>
          <w:i/>
          <w:color w:val="000000"/>
          <w:sz w:val="20"/>
          <w:lang w:val="en-US" w:eastAsia="en-US" w:bidi="ar-SA"/>
        </w:rPr>
        <w:t>Canadian Pacific Hotels Ltd. v. Bank of Montreal</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[1987] S.C.J. No. 29</w:t>
        </w:r>
      </w:hyperlink>
      <w:r>
        <w:rPr>
          <w:rFonts w:ascii="arial" w:eastAsia="arial" w:hAnsi="arial" w:cs="arial"/>
          <w:color w:val="000000"/>
          <w:sz w:val="20"/>
          <w:lang w:val="en-US" w:eastAsia="en-US" w:bidi="ar-SA"/>
        </w:rPr>
        <w:t xml:space="preserve">, at p. 775 S.C.R., LeDain J.); see also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[2000] S.C.J. No. 60</w:t>
        </w:r>
      </w:hyperlink>
      <w:r>
        <w:rPr>
          <w:rFonts w:ascii="arial" w:eastAsia="arial" w:hAnsi="arial" w:cs="arial"/>
          <w:color w:val="000000"/>
          <w:sz w:val="20"/>
          <w:lang w:val="en-US" w:eastAsia="en-US" w:bidi="ar-SA"/>
        </w:rPr>
        <w:t xml:space="preserve">, at para. 81; </w:t>
      </w:r>
      <w:r>
        <w:rPr>
          <w:rFonts w:ascii="arial" w:eastAsia="arial" w:hAnsi="arial" w:cs="arial"/>
          <w:i/>
          <w:color w:val="000000"/>
          <w:sz w:val="20"/>
          <w:lang w:val="en-US" w:eastAsia="en-US" w:bidi="ar-SA"/>
        </w:rPr>
        <w:t>Marinangeli v. Marinangeli</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(2003), 66 O.R. (3d) 40</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[2003] O.J. No. 2819</w:t>
        </w:r>
      </w:hyperlink>
      <w:r>
        <w:rPr>
          <w:rFonts w:ascii="arial" w:eastAsia="arial" w:hAnsi="arial" w:cs="arial"/>
          <w:color w:val="000000"/>
          <w:sz w:val="20"/>
          <w:lang w:val="en-US" w:eastAsia="en-US" w:bidi="ar-SA"/>
        </w:rPr>
        <w:t xml:space="preserve"> (C.A.), at para. 55. </w:t>
      </w:r>
      <w:r>
        <w:rPr>
          <w:rFonts w:ascii="arial" w:eastAsia="arial" w:hAnsi="arial" w:cs="arial"/>
          <w:color w:val="000000"/>
          <w:sz w:val="20"/>
          <w:u w:val="single"/>
          <w:lang w:val="en-US" w:eastAsia="en-US" w:bidi="ar-SA"/>
        </w:rPr>
        <w:t>When implying a term, however, courts must be careful to do so based on actual evidence and not mere judicial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Implication as a matter of custom or usage requires sufficient evidence of the custom or usage in question to show the presumed intention of the parties to be bound by that custom or usage. In </w:t>
      </w:r>
      <w:r>
        <w:rPr>
          <w:rFonts w:ascii="arial" w:eastAsia="arial" w:hAnsi="arial" w:cs="arial"/>
          <w:i/>
          <w:color w:val="000000"/>
          <w:sz w:val="20"/>
          <w:lang w:val="en-US" w:eastAsia="en-US" w:bidi="ar-SA"/>
        </w:rPr>
        <w:t>Canadian Pacific Hotels</w:t>
      </w:r>
      <w:r>
        <w:rPr>
          <w:rFonts w:ascii="arial" w:eastAsia="arial" w:hAnsi="arial" w:cs="arial"/>
          <w:color w:val="000000"/>
          <w:sz w:val="20"/>
          <w:lang w:val="en-US" w:eastAsia="en-US" w:bidi="ar-SA"/>
        </w:rPr>
        <w:t>, the Court discusses the implication of terms in a contract on the basis of custom or usage at 774: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doubt that the implication of terms in a contract on the basis of custom or usage is a well recognized category of implication that has been particularly important with respect to commercial contracts. It was noted in </w:t>
      </w:r>
      <w:r>
        <w:rPr>
          <w:rFonts w:ascii="arial" w:eastAsia="arial" w:hAnsi="arial" w:cs="arial"/>
          <w:i/>
          <w:color w:val="000000"/>
          <w:sz w:val="20"/>
          <w:lang w:val="en-US" w:eastAsia="en-US" w:bidi="ar-SA"/>
        </w:rPr>
        <w:t>Hutton v. Warren</w:t>
      </w:r>
      <w:r>
        <w:rPr>
          <w:rFonts w:ascii="arial" w:eastAsia="arial" w:hAnsi="arial" w:cs="arial"/>
          <w:color w:val="000000"/>
          <w:sz w:val="20"/>
          <w:lang w:val="en-US" w:eastAsia="en-US" w:bidi="ar-SA"/>
        </w:rPr>
        <w:t xml:space="preserve"> (1836), 1 M. &amp; W. 446, 150 E.R. 517, where Parke B. said at p. 475 M. &amp; W. and at p. 521 E.R. "It has long been settled, that in commercial transactions, extrinsic evidence of custom and usage is admissible to annex incidents to written contracts, in matters with respect to which they are silent. The same rule has also been applied to contracts in other transactions of life, in which known usages have been established and prevailed; and this has been done upon the principle of presumption that, in such transactions, the parties did not mean to express in writing the whole of the contract by which they intended to be bound, but a contract with reference to those known usages." Implication on the basis of custom or usage was referred to by Lord Wilberforce in </w:t>
      </w:r>
      <w:r>
        <w:rPr>
          <w:rFonts w:ascii="arial" w:eastAsia="arial" w:hAnsi="arial" w:cs="arial"/>
          <w:i/>
          <w:color w:val="000000"/>
          <w:sz w:val="20"/>
          <w:lang w:val="en-US" w:eastAsia="en-US" w:bidi="ar-SA"/>
        </w:rPr>
        <w:t>Liverpool City Council</w:t>
      </w:r>
      <w:r>
        <w:rPr>
          <w:rFonts w:ascii="arial" w:eastAsia="arial" w:hAnsi="arial" w:cs="arial"/>
          <w:color w:val="000000"/>
          <w:sz w:val="20"/>
          <w:lang w:val="en-US" w:eastAsia="en-US" w:bidi="ar-SA"/>
        </w:rPr>
        <w:t xml:space="preserve">, [1977] A.C. 239, where in his discussion of the various kinds of implication, he said at p. 253: "Where there is, on the face of it, a complete, bilateral contract, the courts are sometimes willing to add terms to it, as implied terms: this is very common in mercantile contracts where there is an established usage: in that case the courts are spelling out what both parties know and would, if asked, unhesitatingly agree to be part of the bargain." As the statements of Parke B. and Lord Wilberforce indicate, however, implication on the basis of custom or usage is implication on the basis of presumed intention. (Of course custom is being used here as more or less synonymous with usage and not in the sense of custom that has become a rule of law. Cf. </w:t>
      </w:r>
      <w:r>
        <w:rPr>
          <w:rFonts w:ascii="arial" w:eastAsia="arial" w:hAnsi="arial" w:cs="arial"/>
          <w:i/>
          <w:color w:val="000000"/>
          <w:sz w:val="20"/>
          <w:lang w:val="en-US" w:eastAsia="en-US" w:bidi="ar-SA"/>
        </w:rPr>
        <w:t>The "Freiya" v. The "R.S."</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[1922] 1 W.W.R. 409</w:t>
        </w:r>
      </w:hyperlink>
      <w:r>
        <w:rPr>
          <w:rFonts w:ascii="arial" w:eastAsia="arial" w:hAnsi="arial" w:cs="arial"/>
          <w:color w:val="000000"/>
          <w:sz w:val="20"/>
          <w:lang w:val="en-US" w:eastAsia="en-US" w:bidi="ar-SA"/>
        </w:rPr>
        <w:t>, for a discussion of the distinction between custom and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Implication of a term on the basis of business efficacy or the officious bystander depends on the evidence in order to show that the implication is required to further the parties' presumed intentions by achieving business efficacy, or by satisfying the query to the officious bystander; that is, whether it is obvious that the parties would have assumed their agreement to be subject to the term in question. The approach is based on the intentions of the parties to a particular contract and not the intentions of a hypothetical reasonable party. As stated in </w:t>
      </w:r>
      <w:r>
        <w:rPr>
          <w:rFonts w:ascii="arial" w:eastAsia="arial" w:hAnsi="arial" w:cs="arial"/>
          <w:i/>
          <w:color w:val="000000"/>
          <w:sz w:val="20"/>
          <w:lang w:val="en-US" w:eastAsia="en-US" w:bidi="ar-SA"/>
        </w:rPr>
        <w:t>M.J.B.</w:t>
      </w:r>
      <w:r>
        <w:rPr>
          <w:rFonts w:ascii="arial" w:eastAsia="arial" w:hAnsi="arial" w:cs="arial"/>
          <w:color w:val="000000"/>
          <w:sz w:val="20"/>
          <w:lang w:val="en-US" w:eastAsia="en-US" w:bidi="ar-SA"/>
        </w:rPr>
        <w:t xml:space="preserve"> at 635-636: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important in both formulations is a focus on the intentions of the </w:t>
      </w:r>
      <w:r>
        <w:rPr>
          <w:rFonts w:ascii="arial" w:eastAsia="arial" w:hAnsi="arial" w:cs="arial"/>
          <w:color w:val="000000"/>
          <w:sz w:val="20"/>
          <w:u w:val="single"/>
          <w:lang w:val="en-US" w:eastAsia="en-US" w:bidi="ar-SA"/>
        </w:rPr>
        <w:t>actual</w:t>
      </w:r>
      <w:r>
        <w:rPr>
          <w:rFonts w:ascii="arial" w:eastAsia="arial" w:hAnsi="arial" w:cs="arial"/>
          <w:color w:val="000000"/>
          <w:sz w:val="20"/>
          <w:lang w:val="en-US" w:eastAsia="en-US" w:bidi="ar-SA"/>
        </w:rPr>
        <w:t xml:space="preserve"> parties. A court, when dealing with terms implied in fact, must be careful not to slide into determining the intentions of </w:t>
      </w:r>
      <w:r>
        <w:rPr>
          <w:rFonts w:ascii="arial" w:eastAsia="arial" w:hAnsi="arial" w:cs="arial"/>
          <w:color w:val="000000"/>
          <w:sz w:val="20"/>
          <w:u w:val="single"/>
          <w:lang w:val="en-US" w:eastAsia="en-US" w:bidi="ar-SA"/>
        </w:rPr>
        <w:t>reasonable</w:t>
      </w:r>
      <w:r>
        <w:rPr>
          <w:rFonts w:ascii="arial" w:eastAsia="arial" w:hAnsi="arial" w:cs="arial"/>
          <w:color w:val="000000"/>
          <w:sz w:val="20"/>
          <w:lang w:val="en-US" w:eastAsia="en-US" w:bidi="ar-SA"/>
        </w:rPr>
        <w:t xml:space="preserve"> parties. This is why the implication of the term must have a certain degree of obviousness to it, and why, if there is evidence of a contrary intention, on the part of either party, an implied term may not be found on this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While courts have a fairly broad scope to imply terms in a contract, this power is to be used cautiously, and should not be used either to rewrite the parties' contract or contradict the express wording of the contract. As stated by Cory J.A. (as he then was) in </w:t>
      </w:r>
      <w:r>
        <w:rPr>
          <w:rFonts w:ascii="arial" w:eastAsia="arial" w:hAnsi="arial" w:cs="arial"/>
          <w:i/>
          <w:color w:val="000000"/>
          <w:sz w:val="20"/>
          <w:lang w:val="en-US" w:eastAsia="en-US" w:bidi="ar-SA"/>
        </w:rPr>
        <w:t>G. Ford Homes Ltd. v. Draft Masonry (York) Co. Ltd.</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(1983), 43 O.R. (2d) 401</w:t>
        </w:r>
      </w:hyperlink>
      <w:r>
        <w:rPr>
          <w:rFonts w:ascii="arial" w:eastAsia="arial" w:hAnsi="arial" w:cs="arial"/>
          <w:color w:val="000000"/>
          <w:sz w:val="20"/>
          <w:lang w:val="en-US" w:eastAsia="en-US" w:bidi="ar-SA"/>
        </w:rPr>
        <w:t xml:space="preserve"> at 403: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may a term be implied in a contract? A court faced with that question must first take cognizance of some important and time-honoured cautions. For example, the courts will be cautious in their approach to implying terms to contracts. Certainly a court will not rewrite a contract for the parties. As well, no term will be implied that is inconsistent with the contract. Implied terms are as a rule based upon the presumed intention of the parties and should be founded upon reason. The circumstances and background of the contract, together with its precise terms, should all be carefully regarded before a term is implied. As a result, it is clear that every case must be determined on its own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caution against rewriting the parties' contract precludes implying into the contract terms that would have been reasonable had the parties turned their minds to them. The British Columbia Court of Appeal in </w:t>
      </w:r>
      <w:r>
        <w:rPr>
          <w:rFonts w:ascii="arial" w:eastAsia="arial" w:hAnsi="arial" w:cs="arial"/>
          <w:i/>
          <w:color w:val="000000"/>
          <w:sz w:val="20"/>
          <w:lang w:val="en-US" w:eastAsia="en-US" w:bidi="ar-SA"/>
        </w:rPr>
        <w:t>Alpine Veneers Ltd. v. Reed Lumber Co. Ltd.</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[1983] B.C.J. No. 2289</w:t>
        </w:r>
      </w:hyperlink>
      <w:r>
        <w:rPr>
          <w:rFonts w:ascii="arial" w:eastAsia="arial" w:hAnsi="arial" w:cs="arial"/>
          <w:color w:val="000000"/>
          <w:sz w:val="20"/>
          <w:lang w:val="en-US" w:eastAsia="en-US" w:bidi="ar-SA"/>
        </w:rPr>
        <w:t xml:space="preserve">, quoting the House of Lords' decision in </w:t>
      </w:r>
      <w:r>
        <w:rPr>
          <w:rFonts w:ascii="arial" w:eastAsia="arial" w:hAnsi="arial" w:cs="arial"/>
          <w:i/>
          <w:color w:val="000000"/>
          <w:sz w:val="20"/>
          <w:lang w:val="en-US" w:eastAsia="en-US" w:bidi="ar-SA"/>
        </w:rPr>
        <w:t>Trollope &amp; Colls v. Northwest Metropolitan Regional Hospital Board</w:t>
      </w:r>
      <w:r>
        <w:rPr>
          <w:rFonts w:ascii="arial" w:eastAsia="arial" w:hAnsi="arial" w:cs="arial"/>
          <w:color w:val="000000"/>
          <w:sz w:val="20"/>
          <w:lang w:val="en-US" w:eastAsia="en-US" w:bidi="ar-SA"/>
        </w:rPr>
        <w:t>, [1973] 2 All E.R. 260,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will not even improve the contract which the parties have made for themselves, however desirable the improvement might be. The court's function is to interpret and apply the contract which the parties have made for themselves. If the express terms are perfectly clear and free from ambiguity, there is no choice to be made between different possible meanings: the clear terms must be applied even if the court thinks some other terms would have been more suitable. An unexpressed term can be implied if and only if the court finds that the parties must have intended that term to form part of their contract: it is not enough for the court to find that such a term would have been adopted by the parties as reasonable men if it had been suggested to them: it must have been a term that went without saying, a term necessary to give business efficacy to the contract, a term which, although tacit, formed part of the contract which the parties made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EXPRESS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Based on the factual matrix and the evidence, I find that the Contract and Addendum provides for the following express which are relevant to the issues in this action:</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would lend Alican its mold for production of at least 1 million units or the life of the mold, whichever came first (clauses 5(a) and 5(c)).</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Alican was obliged to make certain express modifications to CanPacific's mold (clause 5(b)).</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would lend Alican its mold until Alican has finished building the new mold for CanPacific (clause 5(d)).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targeted to order, within 18 months of signing the Contract, 1 million units (clause 10).</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CanPacific's first order would be 30,000 units (clause 6(f)).</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CanPacific was to provide Alican with the metal parts that were required to be inserted into the units (Addendum).</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CanPacific failed to order 1 million can opener units, CanPacific was required to pay Alican for the cost of modifying the prototype mold and building the new mold, and to "buy out the balance of the stock and material" for its last order (clause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IMPLIED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Contract is silent on the length of time Alican had to modify the prototype mold or build the new mold. However, Mr. Chong agrees that until the prototype mold was properly modified and the final design approved, work could not begin on the new mold or the production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is no evidence that before the parties entered into the Contract, Mr. Chong and Mr. Ling discussed the length of time it would take to build the production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Ling never saw the prototype mold or any drawings until after the Contract was signed. He testified that he expected, based on what Mr. Chong told him and showed him on the can opener, that Alican could do the three modifications to the prototype mold in about one month. With the revenues from producing units with the prototype mold, Alican could begin building the production mold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only evidence that bears on the issue of two to three months comes from Mr. Chong, who when testifying about the number of pieces that the prototype mold was capable of producing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That for only -- they say life, the mould life is a hundred thousand pieces maximum.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Pardon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This is ARCAM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OTTHO: ARCAM say the mould life is a hundred thousand pieces.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So I told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Who is </w:t>
      </w:r>
      <w:r>
        <w:rPr>
          <w:rFonts w:ascii="arial" w:eastAsia="arial" w:hAnsi="arial" w:cs="arial"/>
          <w:i/>
          <w:color w:val="000000"/>
          <w:sz w:val="20"/>
          <w:lang w:val="en-US" w:eastAsia="en-US" w:bidi="ar-SA"/>
        </w:rPr>
        <w:t>him</w:t>
      </w:r>
      <w:r>
        <w:rPr>
          <w:rFonts w:ascii="arial" w:eastAsia="arial" w:hAnsi="arial" w:cs="arial"/>
          <w:color w:val="000000"/>
          <w:sz w:val="20"/>
          <w:lang w:val="en-US" w:eastAsia="en-US" w:bidi="ar-SA"/>
        </w:rPr>
        <w:t>? Mr. 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 They going to new mould, the production mould, they going to build, that's a three month, two months to three months time to build. So I left my mould for use, only 30,000 pieces. Meantime, they produce mass production mould. That's we let him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Neither Mr. Kroll nor Mr. Baron gave any evidence to suggest that it is customary in the industry for a production mold to be built within two to three months. Rather, Mr. Kroll testified that the goal is to have the prototype mold last as long as possible during the process of building the production mold, and Mr. Baron testified that it took him about 10 months to build the prototype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cannot find on the evidence that both Mr. Chong and Mr. Ling presumed it was a term of the Contract that after Alican had produced 30,000 units, any and all of the remaining units would be produced with the production mold. Moreover, an implied term (a) that only the first 30,000 units would be produced using the prototype mold and the subsequent units would be produced using the new mold; and/or (b) that the new mold would be built within two or three months, contradicts the express terms of clauses 5(a) and 5(d) of the Contract that CanPacific would lend Alican the prototype mold "... for production until ALICAN has finished building new molds for the Product", or for production of at least 1 million units or the life of the mold, whichever came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conclude that CanPacific has failed to prove that Alican breached the Contract as alleged and its claim is dismissed. However, CanPacific breached the express terms of the Contract by failing to pay Alican for the prototype mold modification work when the order for 1 million can opener units was not issued within 18 months from the date the Contract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CanPacific's action is dismissed. Alican will have judgment against CanPacific in the amount of $52,505.95, court order interest, and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Carpenter Fishing Corp. v. Canada, [2002] B.C.J. No. 442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11 - 13,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L011342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B.C.L.R. (3d)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C.R.R. (2d) 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1117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Carpenter Fishing Corporation, Kaarina Etheridge, White Hope Holdings Ltd., Simpson Fishing Co. Ltd., Norman Johnson and Titan Fishing Ltd., petitioners, and Her Majesty the Queen in Right of Canada,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Practice — Persons who can sue and be sued — Individuals and corporations, status or standing — Public interest standing — Private interest standing — Judgments and orders — Finality of judgments and orders — Collateral attack — Constitutional law — Determination of validity of statutes or acts — Civil rights — Canadian Charter of Rights and Freedoms — Time for raising Charter issues — Estoppel — Estoppel by record (res judicata).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Carpenter Fishing Corporation and others to declare unconstitutional certain sections of the Federal Court Act. The impugned sections of the Act required that at least 10 of 31 judicial appointments to the Federal Court be from Quebec, and that Federal Court judges reside within 40 kilometres of the National Capital District. In 1991, the petitioners commenced two actions in Federal Court to challenge the lawfulness of a quota allocation formula for halibut licence holders. The trial judge, a British Columbia appointee, ruled in favour of the petitioners. An appeal by the Crown was allowed by a panel of two Quebec appointees and one Ontario appointee. The petitioners' application for leave to appeal to the Supreme Court of Canada was denied, as was a request for a reconsideration of the leave application. In 1998, the petitioners filed a motion in Federal Court to continue the trial. The trial judge issued a direction that he was functus officio. The petitioners appealed, and the Federal Court of appeal issued a direction that there was no appeal from a direction of the Trial Division. An application for leave to appeal to the Supreme Court of Canada was dismissed. The petitioners relied on the history of the litigation to argue that the composition of the Federal Court did not ensure that Western regional considerations were taken into account. Specifically, they complained of appeals originating in common law jurisdictions being heard by panels with a majority of members from a civil law jurisdiction. They claimed a denial of fundamental justice and equality rights under both the Canadian Charter of Rights and Freedoms and the Canadian Bill of Rights.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petitioners were no longer litigants in the Federal Court and had no direct legal interest in the Federal Court Act. Because there was no threat of any violation of their rights, they had no private interest standing. Other parties, such as directly affected litigants or potential Federal Court judges, were entitled to challenge the impugned legislation such that the petitioners were unable to establish any public interest standing. Moreover, the petition was nothing more than a collateral attack on the decision of the Federal Court of Appeal. The arguments under the Charter and the Bill of Rights, not having been raised in the earlier litigation, were barred by the doctrine of res judicata.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5"/>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Bill of Rights, R.S.C. 1970, s. 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ss. 1, 6(2)(a), 7,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 Act, </w:t>
      </w:r>
      <w:hyperlink r:id="rId238" w:history="1">
        <w:r>
          <w:rPr>
            <w:rFonts w:ascii="arial" w:eastAsia="arial" w:hAnsi="arial" w:cs="arial"/>
            <w:i/>
            <w:color w:val="0077CC"/>
            <w:sz w:val="20"/>
            <w:u w:val="single"/>
            <w:shd w:val="clear" w:color="auto" w:fill="FFFFFF"/>
            <w:lang w:val="en-US" w:eastAsia="en-US" w:bidi="ar-SA"/>
          </w:rPr>
          <w:t>R.S.C. 1985, c. F-7, ss. 5</w:t>
        </w:r>
      </w:hyperlink>
      <w:r>
        <w:rPr>
          <w:rFonts w:ascii="arial" w:eastAsia="arial" w:hAnsi="arial" w:cs="arial"/>
          <w:color w:val="000000"/>
          <w:sz w:val="20"/>
          <w:lang w:val="en-US" w:eastAsia="en-US" w:bidi="ar-SA"/>
        </w:rPr>
        <w:t>(6), 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M.L. Smith and T. Martin, for the petitioners. R.S. Whittaker,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3"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STROMBERG-STEIN J."/>
            <w:bookmarkEnd w:id="52"/>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seek the following declarations: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Sections 5(6) and 7(1) of the Federal Court Act, </w:t>
      </w:r>
      <w:hyperlink r:id="rId239"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violate ss. 6(2)(a), 7 and 15 of the Canadian Charter of Rights and Freedoms, being Part I of the Constitution Act, 1982 and s. 2(e) of the Canadian Bill of Rights, R.S.C. 1970, App. III, and are null and void.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composition of the Federal Court of Appeal on December 23, 1997, in an appeal involving the petitioners, was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Section 5(6) of the Federal Court Act requires that at least 10 of the 31 judicial appointments to the Federal Court be from Quebec. Section 7(1) requires that a Federal Court judge reside within 40 kilometres of the National Capital District. A practice has developed that one third of the remaining judicial appointments to the Federal Court come from Ontario and the balance come from the rest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essence of the petitioners' argument is that ss. 5(6) and 7(1) of the Federal Court Act are unconstitutional and discriminatory because their effect is a court lacking regional representation. The petitioners maintain that there are very few appointments to the Federal Court from British Columbia because of the residency requirement and this results in a court with a central Canadian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petitioners submit that in order for the Federal Court to function as an effective and impartial adjudicator of inter-governmental disputes, it is important that all regions of Canada have equal access to appointments to the Federal Court. The petitioners argue that while the social, political, historical and legal fabric of Quebec society is represented, there is no such protection for residents of British Columbia and the other Western provinces, resulting in Western alienation. Further, the petitioners submit that when judges trained in the civil law adjudicate disputes from common law jurisdictions, they tend to vest policymaking in the legislature, resulting in a disadvantage for litigants from common law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petitioners define the issues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ss. 5(6) and 7 of Federal Court Act violate s. 15 of the Charter?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ss. 5(6) and 7 of Federal Court Act violate s. 7 of the Charter and the principles of fundamental justice?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5(6) of the Federal Court Act violate s. 2(e) of the Canadian Bill of Rights?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ss. 5(6) and 7 of Federal Court Act violate s. 6 of the Charter?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unconstitutional, are these sections saved by s. 1 of the Charter?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remedies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respondent identifies three preliminary issues that must be addressed: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petitioners lack standing to seek declaratory relief?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petition barred by the collateral attack doctrine?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petition barred by the doctrine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respondent also argues that there is no evidentiary foundation to support the assertions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1991 the petitioners commenced two actions in Federal Court challenging the lawfulness of the Minister of Fisheries and Oceans 1990 quota allocation formula for halibut licence holders. The trial judge was Mr. Justice Campbell, the only British Columbia appointee on the Federal Court at that time. He determined the issue of liability in favour of the petitioners, found the Minister's actions unlawful, and reserved the issue of damages to a future date. Before damages could be addressed, the Crown appealed the decision. The Pacific Coast Fishing Vessel Owners Guild, a British Columbia society representing various halibut licence holders in British Columbia, intervened in the appeal supporting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23, 1997 the Federal Court of Appeal, composed of Decary J.A. and Pratt J.A., both members of the Quebec bar prior to their appointments to the Federal Court, and Linden J.A., a former member of the Ontario bar, granted the Crown appeal and dismissed the petitioners' action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petitioners' position in argument was it would be futile to pursue the balance of their claims once the Minister's actions were found to be lawful. The petitioners have never sought to have the Federal Court of Appeal revisit that aspect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16, 1998 the petitioners sought leave to appeal to the Supreme Court of Canada. They were denied leave on August 20, 1998. On September 18, 1998 the petitioners requested that the Supreme Court of Canada reconsider their leave application. This was refused on November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4, 1998 the petitioners filed a motion in Federal Court to continue the trial. The trial judge issued a Direction on January 27, 1999, notifying counsel that he was functus officio since the Federal Court of Appeal had conclusively dismissed the actions. The petitioners appealed to the Federal Court of Appeal. On March 12, 1999 the Federal Court of Appeal issued a Direction that there was no appeal from a Direction of the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6, 1999 the petitioners sought leave to appeal to the Supreme Court of Canada. For the first time the petitioners raised constitutional challenges to ss. 5(6) and 7(1) of the Federal Court Act and complained that the Federal Court of Appeal had improperly dismissed unlitigated claims in their 1997 decision. On October 14, 1999, the Supreme Court of Canada refused leave to appeal for a third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petitioners rely on this history of litigation in Federal Court to establish the factual matrix to support their argument that the composition of the Federal Court of Appeal does not ensure that Western regional considerations are taken into account, particularly when common law judges do not form the majority of an appeal panel in cases originating from a common law jurisdiction. The petitioners complain that in their litigation none of the appeal judges had practiced law in British Columbia; yet they overturned the decision of a trial judge appointed from British Columbia. The point the petitioners raise is that the decision of the Federal Court of Appeal resulted from distinctly different decision making methodology between judges trained in the civil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can do little to improve on the reasoning and argument of Mr. Whittaker, counsel for the respondent. I agree with the respondent's assessment that the petitioners are disgruntled litigants who are unhappy with the December 23, 1997 decision of the Federal Court of Appeal as it relates to their halibut quotas for 1990. They lack standing to bring their petition, which is no more than a feebly disguised collateral attack on the correctness or validity of the appeal decision. On any one of the preliminary grounds advanced by the respondent, this petition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petitioners assert both a private interest standing and a public interest standing. For the reasons set out below I find that the petitioners lack standing to seek any declaratory relief. Further, the petitioner cannot satisfy the criteria for public interest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Private Interest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three branches to the petitioners' claim for private interest standing: (i) as former litigants in Federal Court, they have been affected by that Court and their experience provides a factual backdrop to highlight how the impugned legislation affects litigants from British Columbia; (ii) their livelihood depends on fishing and they may be obliged in the future to challenge the administrative conduct of the Department of Fisheries and Oceans in Federal Court; and (iii) as citizens of Canada they ought to be permitted to challenge the constitutionality of federal legislation affecting all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Operation Dismantle Inc. v. The Queen, </w:t>
      </w:r>
      <w:hyperlink r:id="rId24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Wilson J. stated at pp. 485-486: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have standing to bring such an action a plaintiff must, as noted from Borchard, supra, be able to show that he or she will suffer injury to a right or legally protected interest from the conduct of such officials. The same point is made in de Smith, Constitutional and Administrative Law (4th Ed.), at p. 604.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Lord Wilberforce said: '...there is no support for the proposition that declaratory relief can be granted unless the plaintiff, in proper proceedings, in which there is a dispute between the plaintiff and defendant concerning their respective legal rights and liabilities, either asserts a legal right which is denied or threatened, or claims immunity from some claim of the defendant against him, or claims that the defendant is infringing or threatens to infringe some public right so as to inflict the special damage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Solosky v. The Queen, </w:t>
      </w:r>
      <w:hyperlink r:id="rId241" w:history="1">
        <w:r>
          <w:rPr>
            <w:rFonts w:ascii="arial" w:eastAsia="arial" w:hAnsi="arial" w:cs="arial"/>
            <w:i/>
            <w:color w:val="0077CC"/>
            <w:sz w:val="20"/>
            <w:u w:val="single"/>
            <w:shd w:val="clear" w:color="auto" w:fill="FFFFFF"/>
            <w:lang w:val="en-US" w:eastAsia="en-US" w:bidi="ar-SA"/>
          </w:rPr>
          <w:t>[1980] 1 S.C.R. 821</w:t>
        </w:r>
      </w:hyperlink>
      <w:r>
        <w:rPr>
          <w:rFonts w:ascii="arial" w:eastAsia="arial" w:hAnsi="arial" w:cs="arial"/>
          <w:color w:val="000000"/>
          <w:sz w:val="20"/>
          <w:lang w:val="en-US" w:eastAsia="en-US" w:bidi="ar-SA"/>
        </w:rPr>
        <w:t>, considered the issue of jurisdiction to grant declarations. Dickson J. said at p. 830: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Declaratory relief is a remedy neither constrained by form nor bounded by substantive content, which avails persons sharing a legal relationship, in respect of which a 'real issue' concerning the relative interests of each has been raised and falls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principles which guide the court in exercising jurisdiction to grant declarations have been stated time and time again. In the early case of Russian Commercial and Industrial Bank v. British Bank for Foreign Trade Ltd., [1921] 2 A.C. 438, in which parties to a contract sought assistance in construing it, the Court affirmed that declarations can be granted where real, rather than fictitious or academic, issues are raised. Lord Dunedin set out this test (at p. 448):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must be a real and not a theoretical question, the person raising it must have a real interest to raise it, he must be able to secure a proper contradictor, that is to say, someone presently existing who has a true interest to oppose the declaration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Fraser v. Houston </w:t>
      </w:r>
      <w:hyperlink r:id="rId242" w:history="1">
        <w:r>
          <w:rPr>
            <w:rFonts w:ascii="arial" w:eastAsia="arial" w:hAnsi="arial" w:cs="arial"/>
            <w:i/>
            <w:color w:val="0077CC"/>
            <w:sz w:val="20"/>
            <w:u w:val="single"/>
            <w:shd w:val="clear" w:color="auto" w:fill="FFFFFF"/>
            <w:lang w:val="en-US" w:eastAsia="en-US" w:bidi="ar-SA"/>
          </w:rPr>
          <w:t>[1996] B.C.J. No. 2096</w:t>
        </w:r>
      </w:hyperlink>
      <w:r>
        <w:rPr>
          <w:rFonts w:ascii="arial" w:eastAsia="arial" w:hAnsi="arial" w:cs="arial"/>
          <w:color w:val="000000"/>
          <w:sz w:val="20"/>
          <w:lang w:val="en-US" w:eastAsia="en-US" w:bidi="ar-SA"/>
        </w:rPr>
        <w:t xml:space="preserve"> (S.C.) at para. 28, Hood J. noted with approval the comments of Lasar Sarna from The Law of Declaratory Judgments, 2d ed. (1988) at p. 20 that purely academic, hypothetical, obscure questions or questions of no real relevance to the parties cannot form a suitable basis for an application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Hood J. held that a declaration would not be granted when the dispute is over and has become academic. This is clearly applicable to the case at bar. The petitioners, former litigants in the Federal Court, are not litigants in Federal Court at this time and no longer have a direct legal interest in the Federal Court Act. Because there is no threat of any violation of their rights, the petitioners have no standing to seek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Charter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petitioners argue that any citizen of Canada has the right to challenge federal legislation if such legislation does not conform with the constitutional standards enshrined in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"Every individual" has equality rights conferred by s. 15 of the Charter. The "personal nature" of s. 15 rights was emphasized by the British Columbia Court of Appeal in Stinson Estate v. British Columbia </w:t>
      </w:r>
      <w:hyperlink r:id="rId243" w:history="1">
        <w:r>
          <w:rPr>
            <w:rFonts w:ascii="arial" w:eastAsia="arial" w:hAnsi="arial" w:cs="arial"/>
            <w:i/>
            <w:color w:val="0077CC"/>
            <w:sz w:val="20"/>
            <w:u w:val="single"/>
            <w:shd w:val="clear" w:color="auto" w:fill="FFFFFF"/>
            <w:lang w:val="en-US" w:eastAsia="en-US" w:bidi="ar-SA"/>
          </w:rPr>
          <w:t>(1999), 70 B.C.L.R. (3d) 233</w:t>
        </w:r>
      </w:hyperlink>
      <w:r>
        <w:rPr>
          <w:rFonts w:ascii="arial" w:eastAsia="arial" w:hAnsi="arial" w:cs="arial"/>
          <w:color w:val="000000"/>
          <w:sz w:val="20"/>
          <w:lang w:val="en-US" w:eastAsia="en-US" w:bidi="ar-SA"/>
        </w:rPr>
        <w:t xml:space="preserve">. In that case, Finch J.A. (as he then was) refused standing to an estate with respect to a s. 15 claim for a deceased individual. While the Court in Stinson dealt with the issue of an estate, the reasoning of Finch J.A. is relevant to the matter at bar. Finch J.A. referred, at para. 14, to the Supreme Court of Canada's reasoning in Irwin Toy Ltd. v. Quebec (Procueur General), </w:t>
      </w:r>
      <w:hyperlink r:id="rId244"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with respect to s. 7 of the Charter: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then, must be read in light of the rest of the section and defined to exclude corporations and other artificial entities incapable of enjoying life, liberty or security of the person, and include only human beings.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Finch J.A. held that the rights affirmed for "everyone" by s. 7 and "every individual" by s. 15, are personal in nature and those rights belong only to human beings.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corporate petitioners have no rights under s. 7 and s. 15 of the Charter: Stinson Estate v. British Columbia at para. 15; Irwin Toy Ltd. v. Québec (A.G.), </w:t>
      </w:r>
      <w:hyperlink r:id="rId244"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xml:space="preserve"> at para. 96. Rights under s. 6(2)(a) of the Charter are only available to individuals or natural persons: Canadian Egg Marketing Agency v. Richardson, </w:t>
      </w:r>
      <w:hyperlink r:id="rId245" w:history="1">
        <w:r>
          <w:rPr>
            <w:rFonts w:ascii="arial" w:eastAsia="arial" w:hAnsi="arial" w:cs="arial"/>
            <w:i/>
            <w:color w:val="0077CC"/>
            <w:sz w:val="20"/>
            <w:u w:val="single"/>
            <w:shd w:val="clear" w:color="auto" w:fill="FFFFFF"/>
            <w:lang w:val="en-US" w:eastAsia="en-US" w:bidi="ar-SA"/>
          </w:rPr>
          <w:t>[1998] 3 S.C.R. 157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Therefore, unless the corporate petitioners are able to establish public interest standing, they have no standing to invoke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Interest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petitioners must satisfy the necessary criteria described in Canadian Council of Churches v. Canada, </w:t>
      </w:r>
      <w:r>
        <w:rPr>
          <w:rFonts w:ascii="arial" w:eastAsia="arial" w:hAnsi="arial" w:cs="arial"/>
          <w:i/>
          <w:color w:val="000000"/>
          <w:sz w:val="20"/>
          <w:lang w:val="en-US" w:eastAsia="en-US" w:bidi="ar-SA"/>
        </w:rPr>
        <w:t>[1992] 1 S.C.R. 236</w:t>
      </w:r>
      <w:r>
        <w:rPr>
          <w:rFonts w:ascii="arial" w:eastAsia="arial" w:hAnsi="arial" w:cs="arial"/>
          <w:color w:val="000000"/>
          <w:sz w:val="20"/>
          <w:lang w:val="en-US" w:eastAsia="en-US" w:bidi="ar-SA"/>
        </w:rPr>
        <w:t xml:space="preserve"> at p. 253-256 to establish public interest standing: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serious issue as to the validity of the Federal Court Act.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are directly affected by the Federal Court Act or that they have a genuine interest in its validity.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other reasonable or effective way in which to place the validity of the Federal Court Act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petitioners claim they have an interest in the constitutionality of the Federal Court of Canada for three reasons. First, they argue that based on their experience as litigants in the Carpenter Fishing action, they have been affected by the Federal Court personally. Second, they argue that they are intimately connected to the fishery on the West coast of British Columbia as they rely on fishing for their livelihood and way of life. Finally, they argue that because they are citizens of Canada that alone ought to permit them to challenge the constitutionality of federal legislation affecting all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 if the petitioners were able to establish that there is a serious issue, I would decline to exercise my discretion in favour of granting public interest standing here because the petitioners are not directly affected by the Federal Court Act and they do not have any genuine interest in its validity with respect to the appointment of judges to the Federal Court, aside from their unsuccessful litigation in that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rationale for granting public interest standing is to ensure that legislation is not immunized from challenge. This case is unlike Thorson v. Attorney General of Canada, </w:t>
      </w:r>
      <w:hyperlink r:id="rId246" w:history="1">
        <w:r>
          <w:rPr>
            <w:rFonts w:ascii="arial" w:eastAsia="arial" w:hAnsi="arial" w:cs="arial"/>
            <w:i/>
            <w:color w:val="0077CC"/>
            <w:sz w:val="20"/>
            <w:u w:val="single"/>
            <w:shd w:val="clear" w:color="auto" w:fill="FFFFFF"/>
            <w:lang w:val="en-US" w:eastAsia="en-US" w:bidi="ar-SA"/>
          </w:rPr>
          <w:t>[1975] 1 S.C.R. 138</w:t>
        </w:r>
      </w:hyperlink>
      <w:r>
        <w:rPr>
          <w:rFonts w:ascii="arial" w:eastAsia="arial" w:hAnsi="arial" w:cs="arial"/>
          <w:color w:val="000000"/>
          <w:sz w:val="20"/>
          <w:lang w:val="en-US" w:eastAsia="en-US" w:bidi="ar-SA"/>
        </w:rPr>
        <w:t xml:space="preserve">, relied upon by the petitioners, where the impugned statute would have been immunized from challenge if that petitioner was not granted standing. Here, as in Canadian Council of Churches, no such immunization exists since those most directly affected-litigants, affected judges or potential judges of the Federal Court-may challenge the impugned legislation. Hence, the rationale for public interest standing disappears as there are other reasonable and effective means by which the validity of the Federal Court Act can be challenged: Hy and Zel's Inc. v. Ontario (A.G.), </w:t>
      </w:r>
      <w:hyperlink r:id="rId247" w:history="1">
        <w:r>
          <w:rPr>
            <w:rFonts w:ascii="arial" w:eastAsia="arial" w:hAnsi="arial" w:cs="arial"/>
            <w:i/>
            <w:color w:val="0077CC"/>
            <w:sz w:val="20"/>
            <w:u w:val="single"/>
            <w:shd w:val="clear" w:color="auto" w:fill="FFFFFF"/>
            <w:lang w:val="en-US" w:eastAsia="en-US" w:bidi="ar-SA"/>
          </w:rPr>
          <w:t>[1993] 3 S.C.R. 675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absence of a proper factual foundation in which to consider the issues raised in this case, particularly when it is apparent that other litigants could supply such a foundation, is another basis for the finding that no standing should be granted to the petitioners: Hy and Zel's Inc.; R. v. Danson </w:t>
      </w:r>
      <w:hyperlink r:id="rId248" w:history="1">
        <w:r>
          <w:rPr>
            <w:rFonts w:ascii="arial" w:eastAsia="arial" w:hAnsi="arial" w:cs="arial"/>
            <w:i/>
            <w:color w:val="0077CC"/>
            <w:sz w:val="20"/>
            <w:u w:val="single"/>
            <w:shd w:val="clear" w:color="auto" w:fill="FFFFFF"/>
            <w:lang w:val="en-US" w:eastAsia="en-US" w:bidi="ar-SA"/>
          </w:rPr>
          <w:t>(1990), 73 D.L.R. (4th) 686</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Sections 5(6) and 7(1) of the Federal Court Act affect Federal Court judges. Challenges to ss. 5(6) and 7(1) of the Federal Court Act should be advanced by those directly affected - prospective judicial candidates or current Judges of the Federal Court. As a general rule, a provision of the Charter may only be invoked by those who enjoy its protection: Canadian Egg Marketing Agency v. Richardson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should be emphasized that there is absolutely no evidence before this Court that any current or prospective judge of the Federal Court has had his or her Charter rights infringed by ss. 5(6) or 7(1) of the Federal Court Act. The petitioners cannot establish any reason why they should be permitted to advance arguments in their petition on behalf of current or prospective judges. They, as former litigants, are neither exceptionally prejudiced nor directly affected by provisions relating to current or prospective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petitioners lack private or public interest standing to bring this claim and for this reason alone this petition must be dismissed. However, I will comment briefly on the other preliminary objections raised by the respondent regarding the jurisdiction to hear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respondent submits that this petition is nothing more than a collateral attack on the decision of the Federal Court of Appeal. The doctrine of collateral attack arises from judicial policy favouring finality in litigation. The rule provides that a judicial order pronounced by a court of competent jurisdiction should not be brought into question in subsequent proceedings, except subsequent proceedings provided by law for the express purpose of attacking the order: Wilson v. The Queen, </w:t>
      </w:r>
      <w:hyperlink r:id="rId249"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In Wilson, McIntyre J. defines a collateral attack as "an attack made in proceedings other than those whose specific object is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true purpose of this petition is illustrated in the affidavit of Robert Carpenter, sworn April 27, 2001 in support of the petition, seeking to declare unconstitutional the panel that heard the appeal in 1997. Further evidence is found in the material filed in the Supreme Court of Canada on the third leave application, where it is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Applicants are found to have been denied their rights under the Charter to equality and fundamental justice by virtue of no judges on the Federal Court of Appeal being from British Columbia then the only effective remedy is for the Supreme Court of Canada to reconsider the appeal from the strong trial judgment in favour of the Applicants. A very strong judgment in favour of the Applicants at trial before a judge from British Columbia was overturned on appeal to a court with no judges from British Columbia. Only the Supreme Court can provide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the respondent that this petition is nothing more than the petitioners' attempt to question the correctness of the decision of the Federal Court of Appeal. This is barred as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Breach of individual constitutional rights is no exception to the collateral attack doctrine. The collateral attack doctrine and the importance of finality trumps constitutional rights and/or arguments. Thus, in the case at bar, the collateral attack doctrine would preclude an attack on the appeal decision on the basis of alleged Charter violations: Reference Re Manitoba Language Rights </w:t>
      </w:r>
      <w:hyperlink r:id="rId250" w:history="1">
        <w:r>
          <w:rPr>
            <w:rFonts w:ascii="arial" w:eastAsia="arial" w:hAnsi="arial" w:cs="arial"/>
            <w:i/>
            <w:color w:val="0077CC"/>
            <w:sz w:val="20"/>
            <w:u w:val="single"/>
            <w:shd w:val="clear" w:color="auto" w:fill="FFFFFF"/>
            <w:lang w:val="en-US" w:eastAsia="en-US" w:bidi="ar-SA"/>
          </w:rPr>
          <w:t>(1985), 19 D.L.R. (4th) 1</w:t>
        </w:r>
      </w:hyperlink>
      <w:r>
        <w:rPr>
          <w:rFonts w:ascii="arial" w:eastAsia="arial" w:hAnsi="arial" w:cs="arial"/>
          <w:color w:val="000000"/>
          <w:sz w:val="20"/>
          <w:lang w:val="en-US" w:eastAsia="en-US" w:bidi="ar-SA"/>
        </w:rPr>
        <w:t xml:space="preserve"> (S.C.C.); R. v. Sarson, </w:t>
      </w:r>
      <w:hyperlink r:id="rId251" w:history="1">
        <w:r>
          <w:rPr>
            <w:rFonts w:ascii="arial" w:eastAsia="arial" w:hAnsi="arial" w:cs="arial"/>
            <w:i/>
            <w:color w:val="0077CC"/>
            <w:sz w:val="20"/>
            <w:u w:val="single"/>
            <w:shd w:val="clear" w:color="auto" w:fill="FFFFFF"/>
            <w:lang w:val="en-US" w:eastAsia="en-US" w:bidi="ar-SA"/>
          </w:rPr>
          <w:t>[1996] 2 S.C.R. 223</w:t>
        </w:r>
      </w:hyperlink>
      <w:r>
        <w:rPr>
          <w:rFonts w:ascii="arial" w:eastAsia="arial" w:hAnsi="arial" w:cs="arial"/>
          <w:color w:val="000000"/>
          <w:sz w:val="20"/>
          <w:lang w:val="en-US" w:eastAsia="en-US" w:bidi="ar-SA"/>
        </w:rPr>
        <w:t>. A declaration that a court that heard an appeal was unconstitutional would call into question the original judgment and would constitute a collateral attack on that decision. I agree with the respondent that the appeal decision is immune from collateral attack and for this reason this petition should be dismissed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respondent submits that despite the petitioners' assertion regarding the impropriety of the Federal Court of Appeal dismissing their claim in its entirety, the petitioners never raised a constitutional challenge to ss. 5(6) and 7(1) of the Federal Court Act prior to their third leave application to the Supreme Court of Canada; yet they could have done so. The respondent argues that on these facts, pursuant to the doctrine of res judicata, the petitioners cannot raise these Charter arguments now in their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respondent's res judicata argument is based on the branch of res judicata referred to as cause of action estoppel. This principle was articulated by the British Columbia Court of Appeal in Lim v. Lim </w:t>
      </w:r>
      <w:hyperlink r:id="rId252" w:history="1">
        <w:r>
          <w:rPr>
            <w:rFonts w:ascii="arial" w:eastAsia="arial" w:hAnsi="arial" w:cs="arial"/>
            <w:i/>
            <w:color w:val="0077CC"/>
            <w:sz w:val="20"/>
            <w:u w:val="single"/>
            <w:shd w:val="clear" w:color="auto" w:fill="FFFFFF"/>
            <w:lang w:val="en-US" w:eastAsia="en-US" w:bidi="ar-SA"/>
          </w:rPr>
          <w:t>(1999), 180 D.L.R. (4th) 87</w:t>
        </w:r>
      </w:hyperlink>
      <w:r>
        <w:rPr>
          <w:rFonts w:ascii="arial" w:eastAsia="arial" w:hAnsi="arial" w:cs="arial"/>
          <w:color w:val="000000"/>
          <w:sz w:val="20"/>
          <w:lang w:val="en-US" w:eastAsia="en-US" w:bidi="ar-SA"/>
        </w:rPr>
        <w:t>, where the Court quoted at para. 8 from Henderson v. Henderson, [1843] 67 E.R. 313 at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requires the parties ... to bring forward their whole case, and will not (except under special circumstances) permit the same parties to open the same subject of litigation in respect of a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a special case, not only to points upon which the court was actually required by the parties to form an opinion or pronounce a judgment, but to every point which properly belonged to the subject of litigation and which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Lim, the Court quoted with approval Hoque v. Montreal Trust Co. of Canada, </w:t>
      </w:r>
      <w:hyperlink r:id="rId253" w:history="1">
        <w:r>
          <w:rPr>
            <w:rFonts w:ascii="arial" w:eastAsia="arial" w:hAnsi="arial" w:cs="arial"/>
            <w:i/>
            <w:color w:val="0077CC"/>
            <w:sz w:val="20"/>
            <w:u w:val="single"/>
            <w:shd w:val="clear" w:color="auto" w:fill="FFFFFF"/>
            <w:lang w:val="en-US" w:eastAsia="en-US" w:bidi="ar-SA"/>
          </w:rPr>
          <w:t>[1997] N.S.J. No. 430</w:t>
        </w:r>
      </w:hyperlink>
      <w:r>
        <w:rPr>
          <w:rFonts w:ascii="arial" w:eastAsia="arial" w:hAnsi="arial" w:cs="arial"/>
          <w:color w:val="000000"/>
          <w:sz w:val="20"/>
          <w:lang w:val="en-US" w:eastAsia="en-US" w:bidi="ar-SA"/>
        </w:rPr>
        <w:t>, a decision of the Nova Scotia Court of Appeal,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 judicata is mainly concerned with two principles. First, there is a principle that "... prevents the contradiction of that which was determined in the previous litigation, by prohibiting the re-litigation of issues already actually addressed.": see Sopinka, Lederman and Bryant, The Law of Evidence in Canada (1991), at p. 997. The second principle is that parties must bring forward all of the claims and defences with respect to the cause of action at issue in the first proceeding and that, if they fail to do so, they will be barred from asserting them in a subsequent action. This "... prevents fragmentation of litigation by prohibiting the litigation of matters that were never actually addressed in the previous litigation, but which properly belonged to it.": ibid. at 998. Cause of action estoppel is usually concerned with the application of this second principle because its operation bars all of the issues properly belonging to the earlier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parties to this petition are the same as those in the Federal Court of Appeal and on the leave applications to the Supreme Court of Canada. The issue of the constitutionality of ss. 5(6) and 7(1) of the Federal Court Act could and should have been raised at the trial level or, at the very least, in the Federal Court of Appeal or in the first two of three leave applications to the Supreme Court of Canada. These issues properly belong to the earlier litigation. There are no special circumstances here that would justify an exception to the res judicata doctrine, such as fraud or fresh evidence, that would be conclusive and could not have been discovered with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Undelivered Charter arguments are not a special circumstance justifying an exception to the res judicata doctrine. As noted by McKenzie J. (as he then was) in Re MacDonald and Marriott et al. </w:t>
      </w:r>
      <w:hyperlink r:id="rId254" w:history="1">
        <w:r>
          <w:rPr>
            <w:rFonts w:ascii="arial" w:eastAsia="arial" w:hAnsi="arial" w:cs="arial"/>
            <w:i/>
            <w:color w:val="0077CC"/>
            <w:sz w:val="20"/>
            <w:u w:val="single"/>
            <w:shd w:val="clear" w:color="auto" w:fill="FFFFFF"/>
            <w:lang w:val="en-US" w:eastAsia="en-US" w:bidi="ar-SA"/>
          </w:rPr>
          <w:t>(1984), 7 D.L.R. (4th) 697</w:t>
        </w:r>
      </w:hyperlink>
      <w:r>
        <w:rPr>
          <w:rFonts w:ascii="arial" w:eastAsia="arial" w:hAnsi="arial" w:cs="arial"/>
          <w:color w:val="000000"/>
          <w:sz w:val="20"/>
          <w:lang w:val="en-US" w:eastAsia="en-US" w:bidi="ar-SA"/>
        </w:rPr>
        <w:t xml:space="preserve"> (B.C.S.C.)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special circumstances which would justify a second hearing. If an undelivered Charter argument was to be regarded as a special circumstance justifying a second hearing, in theory, there could be successive hearings based on different sections of the Charter. I do not believe our court system can tolerate such an elongation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Also relevant to this issue is Chapman et al v. Canada </w:t>
      </w:r>
      <w:hyperlink r:id="rId255" w:history="1">
        <w:r>
          <w:rPr>
            <w:rFonts w:ascii="arial" w:eastAsia="arial" w:hAnsi="arial" w:cs="arial"/>
            <w:i/>
            <w:color w:val="0077CC"/>
            <w:sz w:val="20"/>
            <w:u w:val="single"/>
            <w:shd w:val="clear" w:color="auto" w:fill="FFFFFF"/>
            <w:lang w:val="en-US" w:eastAsia="en-US" w:bidi="ar-SA"/>
          </w:rPr>
          <w:t>(2001), 89 B.C.L.R. (3d) 124</w:t>
        </w:r>
      </w:hyperlink>
      <w:r>
        <w:rPr>
          <w:rFonts w:ascii="arial" w:eastAsia="arial" w:hAnsi="arial" w:cs="arial"/>
          <w:color w:val="000000"/>
          <w:sz w:val="20"/>
          <w:lang w:val="en-US" w:eastAsia="en-US" w:bidi="ar-SA"/>
        </w:rPr>
        <w:t xml:space="preserve"> (S.C.). Based on the principles of res judicata and collateral attack, Melnick J. struck certain paragraphs of the Statement of Claim attacking the validity of leases held by the Musqueam Band. Litigation in the Federal Court Trial Division, the Federal Court of Appeal and the Supreme Court of Canada considered the issue of appropriate rents payable under the leases. The leaseholders had never suggested that the leases were invalid or void. Justice Melnick commented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these allegations contained at paras. 27 to 31 and 35 to 39 of the amended statement of claim are, in my view, clearly res judicata and thus an abuse of process. The essence of these claims is an attack on the validity of the leases themselves, either because they were assigned without authority or because the Minister has allowed them to be managed by the Band rather than the Crown. These are issues that could have, and should have, been brought forward in the context of the litigation to determine the rents. By these claims, the plaintiffs seek to do an end run around that process which was lengthy, presumably costly, and went all the way to the Supreme Court of Canada on the clear understanding, at each level of court, that there were in place valid leases that were entered into in circumstances in which "both parties were well represented, received good advice [and] neither were disadvantaged".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to allow these claims to stand would be an affront to the Federal Court Trial Division, the Federal Court of Appeal and the Supreme Court of Canada. It would be tantamount to the leaseholders saying, "Well, we put you to a lot of time and effort in settling the rent issues from our leases but, even though we proceeded on the basis of the leases being valid, because no specific declaration was made as to their validity, it is now open for us to argue that all the work you did was for nothing because the leases aren't valid anyway". The issues touching on the validity of the leases were issues which could have been raised in the context of the rental litigation. They were not and now they cannot be raised. To do so would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Chapman stands for the proposition that a party is barred by the doctrine of res judicata from proceeding with litigation on the basis of certain assumptions and, when unsuccessful, commencing fresh litigation attacking the validity of the assumptions in the earlier proceedings. Applied to this case, on appeal and in two leave applications to the Supreme Court of Canada in respect of the appeal, the petitioners made no suggestion that the Federal Court Act provisions violated their Charter rights. The petitioners proceeded in Federal Court on the basis that the Court was constitutional. Having lost, they cannot now assert that the Court was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all of the circumstances, the raising of Charter arguments is barred by the doctrine of res judicata. The Charter arguments could and should have been properly raised in the Federal Court proceedings. They were not. Thus, this petition is barred by the doctrine of res judicta.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Unsupported Factual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agree with counsel for the respondent that the petition is flawed because there are a number of assertions made by the petitioner for which there is no evidence. For example, there is no evidence that the effect of section 7(1) of the Federal Court Act is that there is a concentration of judges appointed to the Federal Court from central Canada. There is no evidence to support the assertion that residents of Quebec are given preferential treatment on the basis of ethnic origin. There is no support for the statement that there is a preference given to citizens of Quebec resulting in Western alienation. I agree with the respondent that any person not legally trained is likely completely unaware of the provisions of the Federal Court Act generally, let alone s. 5(6) in particular. Even counsel for the petitioners concedes that he was unaware of s. 5(6) until after the first two leave applications. Finally, there is no evidence that residents of British Columbia have less opportunity to be appointed to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Charter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petitioners argue that ss. 5(6) and 7 of the Federal Court Act are unconstitutional because they deny British Columbians equality before the law in the Federal Court. They claim that a litigant from British Columbia has less a chance to be heard by a judge who understands the political, social and historic climate of the province of British Columbia than does a litigant from Quebec. They argue the requirement that one third of the Court be members of the Quebec bar favors litigants from Quebec and discriminates on the basis of residence. They argue this is analogous to discrimination on the basis of national and ethnic origin, as enumerated in s.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petitioners argue that the denial of an equal opportunity to participate in the institutions of Canadian government constitutes a violation of human dignity and thus, violates both s. 7 of the Charter and s. 2(e) of the Canadian Bill of Rights. They argue that the central Canada focus of the Federal Court means that a well-informed litigant, viewing the matter reasonably, would have a reasonable apprehension that he may not receive a fair hearing before the Court in matters where British Columbia's regional interests collide with those of central Canada. This, they argue, is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succeed in their s. 15 Charter challenge, the petitioner must establish first, that judges from one region of Canada would decide cases differently from judges from other regions; and second, that such difference would be a disadvantage to the petitioners. The petitioner cannot establish either. There is absolutely no evidence to support the assertion that because the judges on the petitioners' appeal were from Quebec and Ontario, this had some impact on the result. This suggestion is pure speculation, is unsupported by any evidence and is an insult to the judges of the appeal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this petition fails on each preliminary ground raised by the respondent, even on the merits, I agree with the respondent that the petition is doomed to fail for the following reasons: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 of Charter is not engaged because: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challenged sections of the Federal Court Act do not make any distinction vis-à-vis litigants;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challenged sections of the Federal Court Act do not impose any burdens or disadvantages on the petitioners;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any distinction is not discriminatory within the meaning of s. 15; that is, there is no discrimination on the basis of an enumerated or analogous ground.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7 of the Charter is not engaged because the petitioners are not deprived of life, liberty or security, and the principles of fundamental justice do not include the proposition that a court must be regionally representative.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6(2)(a) of the Charter is not engaged because the petitioners mobility rights are not affected by the impugned legislation, which deals only with judges.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Canadian Bill of Rights is not engaged by ss. 5(6) and 7(1) of the Federal Court Act because neither the petitioners nor any litigant is deprived of a fair hearing in violation of the principles of fundamental justice.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particularly the corporate petitioners, have no standing to claim the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any event, any Charter violations would be justified under s. 1 of the Charter as a reasonable legislative response to ensure the bijural nature of Canada's legal system and to ensure coherence and collegiality in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light of my conclusion that this petition must be dismissed on the basis of the preliminary objections noted above, it is unnecessary to elaborate further. There is ample support in law for my conclusions as advanced in the respondent's argument. In addition, as I have already indicated, claims for Charter relief were not advanced at trial or on appeal and there is no evidence to support most, if not all, of the petitioners claims for Charter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would dismiss this petition for the following reasons: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lack standing to seek declaratory relief because they are not litigants in the Federal Court and have no direct legal interest in the Federal Court Act; they cannot satisfy the criteria for public interest standing because they lack any genuine interest in the matter and there are other reasonable and effective means of getting the issues raised in the petition before a court.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petition is a collateral attack on the 1997 decision of the Federal Court of Appeal.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in the petition are barred by the doctrine of res judicata or 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adopt the comments of counsel for the Crown, Mr. Whittaker, in argument, to the effect that the concerns raised in the petition are not those the Charter was designed to protect and advancing such claims trivializes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petition is dismissed. The respondent is entitled to costs. If counsel cannot agree on costs, written submissions may be made within 45 days from the date of release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S.M.C. v. C.C.C., [2005] B.C.J. No. 2604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14 - 18, 2005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E010724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S065592 and S088650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R.F.L. (6th)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144 A.C.W.S. (3d) 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S.M.C., plaintiff, and C.C.C., defendant (Registry No. E010724) And between C.C.C., plaintiff, and S.M.C. and T.A.J., defendants (Registry No. S065592) And between C.C.C., plaintiff, and L.M. Ltd., defendant (Registry No. S088650)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Damages — Wrongful dismissal — Deductions — Severance pay — Measure of damages — Husband wrongfully dismissed by father-in-law's company after separating from wife — Husband's severance award from company reduced to reflect husband's deliberate underemployment following termination.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Termination of employment — Wrongful dismissal — Reasonable notice period or wages in lieu — Husband wrongfully dismissed by father-in-law's company after separating from wife — Husband's severance award from company reduced to reflect husband's deliberate underemployment following termination.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Separation agreements, domestic contracts and marriage contracts — Grounds for setting aside — Fraud — Separation agreement held valid, husband required to pay spousal maintenance as agreed to under agreement — Father-in-law's representation husband would not lose employment with father-in-law's company was not fraudulent misrepresentation — Father-in-law believed at time agreement executed he could continue to work with him despite marital problems.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Maintenance and support — Agreement — Husband ordered to pay spousal support to wife, special expenses for children as agreed to in separation agreement — Husband's deliberate underemployment did not excuse him from paying.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SMC and CCC began cohabiting in 1993, married in 1996, and separated in 2000 -- Couple had two children -- Husband worked for company owned by wife's father commencing in 1993 -- Husband's employment terminated in 2001 -- Husband's income at time of termination was $57,113 per year, plus use of company car and credit card -- When parties decided to separate, husband would not leave matrimonial home until separation agreement executed -- Wife's parents promised to make mortgage payments on home until house sold -- Husband signed agreement with understanding his employment with father-in-law's company was secure -- Husband secured new job, at lower salary, within days of leaving father-in-law's company -- Wife applied for divorce, spousal and child maintenance -- Husband ordered to pay $6,000 in spousal maintenance to wife, as agreed in separation agreement -- Husband deliberately stayed in low-paying job to avoid paying spousal maintenance and children's expenses -- Wife's claim for shortfall in child maintenance payments dismissed -- Husband ordered to pay child maintenance of $631 per month based on his present income -- Husband ordered to pay 70 percent of children's special expenses -- Wife and husband ordered to exchange completed income tax returns each year to revise child support each year -- Husband commenced action against wife and wife's father alleging separation agreement was void, as he signed agreement based on fraudulent representation by wife's father -- Husband claimed wife's father represented husband would not be dismissed from employment with wife's father's company if husband signed agreement -- Husband's employment subsequently terminated -- Husband's fraudulent misrepresentation claim dismissed -- Father-in-law sincerely believed he could continue working with husband, despite marital problems with wife, at time agreement executed -- Separation agreement remained binding on husband and wife -- Husband commenced action against father-in-law's company for general, punitive and aggravated damages for wrongful dismissal -- Company ordered to pay husband 2.5 weeks per years of severance pay for six years, although company employed husband for seven years -- Reduction in severance warranted by husband's failure to reasonably mitigate his losses -- Company did not act maliciously, so punitive and aggravated damages not warranted.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Legislation Cited_6"/>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 R.S.B.C. 19996, c.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S.M.C.: David T. Paterson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C.C.C.: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T.A.J. and L.M. Ltd.: Don P. Baron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8"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ROMILLY J."/>
            <w:bookmarkEnd w:id="58"/>
            <w:r>
              <w:rPr>
                <w:rFonts w:ascii="arial" w:eastAsia="arial" w:hAnsi="arial" w:cs="arial"/>
                <w:b/>
                <w:color w:val="000000"/>
                <w:sz w:val="30"/>
                <w:lang w:val="en-US" w:eastAsia="en-US" w:bidi="ar-SA"/>
              </w:rPr>
              <w:t>ROMILLY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proceedings consist of three separate actions that were tried together because they are inextricably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action involves an application for divorce by S.M.C. (the "Wife") from her husband, C.C.C. (the "Husband"), spousal maintenance, maintenance for the children and custody of the children of the marriage. At trial I granted the requested divorce, and the custody issue has been adjourned to be heard by another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stated below, on this action I order the following:</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Husband shall pay $6,000.00 in spousal maintenance to the Wife as agreed in their separation agreement, plus fees imposed under the Family Law Enforcement program, plus interest under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Wife's claim for shortfall in past child maintenance payments is dismissed;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his present income level, the Husband shall make child maintenance payments of $631.00 per month to the Wife;</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Husband shall pay 70% of the children's special and extraordinary expenses;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Husband and Wife shall, by May 15, 2006 and May 15 of each year thereafter, exchange their complete income tax returns for the previous calendar year including all attachments and schedules, their notices of assessment and reassessment from Canada Customs and Revenue Agency, their year-to-date income information with supporting documentation to May 15 in any given year so that child support can be revised effective June 1, 2006 and June 1 in each year thereafter. This order shall remain in effect until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action is by the Husband against the Wife and his father-in-law, T.A.J (the "Father-in-Law"). In this action the Husband claims that the separation agreement which he and his Wife executed on December 13, 2000, including a separate agreement for child custody and support (collectively referred to as the "Separation Agreement") should be voided because it was signed as a result of a fraudulent misrepresentation made by the Father-in-Law. At the material time the Father-In-Law was also a part owner of the Husband's employer, L.M. Ltd (the "Company"). The Husband claims that the Father-in-Law had promised him continued employment providing the separation was amicable, thus inducing him to sign the Separation Agreement. Based on the subsequent termination of his employment with the Company, the Husband claims that the Separation Agreement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stated below, on this action I order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Husband's claim based on fraudulent misrepresentation is dismissed;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Separation Agreement remains binding upon the Husband and the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last action involves a claim by the Husband against the Company for general, punitive and aggravated damages for wrongful dismissal from his employment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stated below, on this action, I order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shall pay to the Husband 2.5 weeks per year of severance pay for six years and three months of employment, less any severance pay already paid by the Company to the Husband, plus pre-judgment interest under the Court Order Interest Act. These payments shall be subject to the Family Enforcement Maintenance Program Notice of Attachment and withholding tax under the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Husband is 35 years old and the Wife is 36 years old. They began cohabitation in or about June, 1993 and were married to each other on September 21, 1996. There are two children of the marriage: two girls aged 8 and 6 years old (the "Children"). The Husband and the Wife ceased cohabitation on October 16,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Husband was employed by the Company since October, 1993. The Company was involved in the real estate construction business. His employment with the Company was terminated on January 12, 2001. At the time of his termination, the Husband was earning $57,113.42 per year. In addition, he had the use of a company car and a company credit card to purchase gas for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as a fact that the Husband and Wife were looking to purchase a condominium or a townhouse after their marriage. They made this fact known to the Father-in-Law and his wife (the "Mother-in-Law"). The Father-in-Law and the Mother-in-Law suggested that instead of buying a condominium, the Husband and Wife together with the Father-in-Law and the Mother-in-Law could buy a house with a basement. The Husband and Wife would live upstairs and the Father-in-Law and Mother-in-Law would rent out the downstairs.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Husband and Wife readily agreed to this proposal. They started to look for a house with a basement suite that met the specifications stipulated by the Father-in-Law and Mother-in-Law. A house was found that was satisfactory to all four persons (the "House"). The purchase price of the House was $267,500.00. In order to finance the purchase, the Husband and Wife obtained a mortgage for $130,000.00 on the House. In addition, the Father-in-Law and Mother-in-Law mortgaged their home for $137,500.00 and contributed the funds to the purchase of the House. It was the intention of the Husband and Wife to eventually purchase the one-half share in the House from the Father-in-Law and Mother-in-Law when they were more financially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part of the House purchase, it was understood that the Wife would have a joint account with the Mother-in-Law for the receipt of rents, and that half of the utilities would be paid by the Father-in-Law and the Mother-in-Law and the other half would be paid by the Husband and Wife. It was also understood that the Husband and Wife and the Father-in-Law and Mother-in-Law would equally share all expenses in doing repairs to the House. It was further agreed between the parties that the House would be registered in the names of the Husband and Wife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Since the House was registered in the names of the Husband and Wife, a written agreement was entered into with all four parties (the "Agreement"). The Agreement was not prepared by a lawyer, but by the parties themselves. I find that although the Agreement is referred to as a partnership agreement, it was not the intention of the parties to form a partnership. It was simply a family joint venture agreement between the Father-in-Law and the Mother-in-Law, and the Husband and Wife. One of the terms of the Agreement was that in the event that the House was sold to a third party, the proceeds of the sale were to be split 50/50 between the Husband and Wife, and the Father-in-Law and Mother-in-Law.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as a fact that before the separation of the Husband and Wife, the Father-in-Law and Mother-in-Law incurred expenses on the House in the amount of $13,959.00 and that neither the Husband nor the Wife reimbursed them for their half of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2000 the Husband and Wife agreed to live separate and apart and they began negotiations for an amicable settlement of their affairs. I find that after the Wife told the Husband that they should separate, the Husband refused to leave the matrimonial home until they had a separation agreement. The Husband was, however, reluctant to sign such an agreement. He moved to the basement of the House and his Wife continued to reside in the upstairs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facilitate the signing of an agreement, I find that the Father-in-Law told the Husband that he would make the mortgage payments on the House if the Husband left the House and that these mortgage payments could be repaid to the Father-in-Law when the House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also find that in the latter part of November, 2000 the Father-In-Law took the Husband to the basement of the House and told him, essentially, that he always tried to keep business and family matters separate, and that provided the Husband's separation with the Wife was amicable, he hoped that he still could. The Husband claimed that he took this to mean that his employment was secure with the Company up to age 65 and that it was on that basis that he signed the Separation Agreement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Separation Agreement was not negotiated and signed by the parties until December 10, 2000. The Separation Agreement was not witnessed on that date, and was thus reprinted and re-signed by the Husband and Wife in the presence of witnesses on December 13,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date that the Separation Agreement was first signed by the Husband and Wife (December 10, 2000) the Father-in-Law and Mother-in-Law were asked by the Husband and Wife to baby sit the Children in order that the Husband and Wife could try to work out a separation agreement between themselves. I find that the Husband and Wife both tentatively agreed to the terms of a separation agreement but the Wife stated that she would not sign it before she informed the Father-in-Law of its contents. As a result, she telephoned the Father-in-Law and read the agreement over the phone. After discussing it with the Father-in-Law, who is not a lawyer, she insisted on an additional clause being inserted into the separation agreement. That clause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C.C.C. shall remove his name from the house title and mortgage and therefore has no further liabilities regarding the house and will receive no monies form the sale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with some dissatisfaction, the Husband finally agreed to sign the Separation Agreement with this clause included. The Separation Agreement in its final form contained the following terms: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Husband was to pay the Wife $500.00 per month spousal support for 12 months commencing January 15, 2001;</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Wife was to waive splitting the Husband's RRSP's;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Wife was to have the car and assume the bank loan on the car;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Husband was to remove his name from the House title and was to receive no monies from the subsequent sale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Separation Agreement was filed with the family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Pursuant to the terms of the Separation Agreement, the Husband transferred his interest in the House to the Wife. I find as a fact that at the time the Separation Agreement was signed the Husband's RRSP's were valued at somewhere around $3,500.00. With respect to the car that was transferred to the Wife, there was a bank loan of $12,000.00 owing against it when it was transferred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signing the Separation Agreement, the Husband took the position that the Separation Agreement and the transfer of the House to his Wife should be rescinded. The Husband's stated basis for this position was that the Father-in-Law had made a fraudulent misrepresentation guaranteeing him employment with the Company for life, or until age 65. The Husband has therefore refused to pay the Wife the spousal support to which he agreed in the Separation Agreement. The Wife, who had not been working outside the home for three years prior to the separation, was forced to go on social assistance and presently owes $8,329.48 to MBNA and $16,015.33 on another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Husband claims to be interested in the best welfare of his Children yet he refused to have them covered for extended health coverage. He told his Wife that there was a short window of opportunity for this coverage and that she "blew it" because she was not able to raise enough money to cover one-half of this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House was eventually sold on March 19, 2001. When the sale was about to close, however, the husband filed a certificate of pending litigation against the House. In order to have that charge removed an application was made before Master Patterson. He made an order that the charge be removed but that a portion of the proceeds of the sale be kept in trust until this court decided the issues raised by the Husband with respect to the House. The cash proceeds of the sale were $238,987.42. In other words, the House was sold at a loss. I also find that at the time of the signing of the Separation Agreement the Husband and Wife owed the Father-in-Law and Mother-in-Law the sum of $6,979.50 for their share of the expenses for the upkeep of the House. This amount exceeded the Husband and Wife's invested equity in the House. I therefore find that at the time the Husband transferred the House to his Wife he had absolutely no equity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Husband's suggestion that the advance of $137,500.00 made by the Father-in-Law and Mother-in-Law was an advance of his wife's inheritance is ludicrous and completely unsubstantiated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12, 2001, a meeting was held between the Father-in-Law, his business partner (the "Partner") and the Husband at the Company's premises. The Partner told the Husband at this time that his employment with the Company could not continue given the events occurring in his private life. After this statement was made by the Partner, the Father-in-Law left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would appear that the Husband was fired because the Father-in-Law found it difficult to continue to work with him after he had found out that the Husband had previously choked the Wife to the point of unconsciousness. The Father-in-Law had told this to the Partner and they had decided that the Husband should be fired. All further dealings with respect to the Husband's termination and possible severance pay were handled by the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Partner offered the Husband three months' severance pay and offered to help him obtain alternative employment. He also gave him a few leads as to where he could possibly seek employment. The Husband refused to take the three months' severance pay until he had proper legal advice. He eventually accepted the minimum statutory severance pay of six weeks' pay which amounted to $7,631.88 without prejudice to his right to seek a larger severance award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Meanwhile, within 19 days of his being fired, the Husband obtained another job with another company doing the same work that he was doing at the Company. In his new job, however, his salary was $40,000.00 per year with no car and no company credit card for gas. In October, 2002 the Husband's salary with his present employer was raised to $45,000.00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hearing five days of evidence in these three actions, I cannot help but come to the conclusion that the Husband deliberately decided to accept this lower paying job, and continues to stay in that job in this booming real estate market, so that he would and will not have to pay spousal support to his Wife and extraordinary expenses for the Children. Such action is consistent with his deliberate refusal to file his income tax for the last three years because of the existence of a Family Enforcement Order which was registered with the Canada Customs and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should say at this stage of the judgment that I have had a chance to see the Husband over the span of five days. I have also had an opportunity to observe him testify. He struck me as a very well educated, very articulate young man. From the evidence I have heard in these proceedings I cannot help but comment that his actions in initiating these proceedings do seem to be motivated by nothing but spite and vindictiveness.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are three main actions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the Wife seeks spousal and child maintenance orders from this court. She also seeks an order granting a divorce and a child custody order. At the conclusion of the five day trial in this matter, the custody and access issue was adjourned to be heard by another judge. The divorce was granted on the last day of the trial. There therefore remain the issues of spousal maintenance and maintenance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 the Husband submits that he signed the Separation Agreement in reliance upon a fraudulent misrepresentation that was made to him by the Father-in-Law. In his submission, the content of that misrepresentation was that his job with the Company would be secure. As a result of the alleged misrepresentation, he submits that the Separation Agreement should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further submits that the amount of monies that were advanced by the Father-in-Law and Mother-in-Law for the purchase of the House was an advance of his Wife's inheritance and therefore a gift. In the alternative, he submits that the partnership agreement with the Father-in-Law and Mother-in-Law was a true partnership and as such on the winding up of the partnership, being the sale of the House, he and his wife are entitled to half of the net proceeds of sale. I have already dismissed the validity of these claims in my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the Husband claims damages for wrongful dismissal from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may be prudent to deal with each of the separate actions in turn, with the first one being the wrongful dismissal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WRONGFUL DISMISSAL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Company abandoned the defence of just cause at the commencement of the trial. However, the Company continues to submit that it offered to pay and has already paid the Husband all of the termination compensation that it was obliged to pay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 result of the Husband's extravagant claims in this action and because he is unrepresented by counsel, I propose to canvass my understanding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Ansari v. British Columbia Hydro &amp; Power Authority </w:t>
      </w:r>
      <w:hyperlink r:id="rId263" w:history="1">
        <w:r>
          <w:rPr>
            <w:rFonts w:ascii="arial" w:eastAsia="arial" w:hAnsi="arial" w:cs="arial"/>
            <w:i/>
            <w:color w:val="0077CC"/>
            <w:sz w:val="20"/>
            <w:u w:val="single"/>
            <w:shd w:val="clear" w:color="auto" w:fill="FFFFFF"/>
            <w:lang w:val="en-US" w:eastAsia="en-US" w:bidi="ar-SA"/>
          </w:rPr>
          <w:t>(1986), 2 B.C.L.R. (2d) 33</w:t>
        </w:r>
      </w:hyperlink>
      <w:r>
        <w:rPr>
          <w:rFonts w:ascii="arial" w:eastAsia="arial" w:hAnsi="arial" w:cs="arial"/>
          <w:color w:val="000000"/>
          <w:sz w:val="20"/>
          <w:lang w:val="en-US" w:eastAsia="en-US" w:bidi="ar-SA"/>
        </w:rPr>
        <w:t xml:space="preserve"> (B.C.S.C.), McEachern C.J.S.C. (as he then was) quoted with approval from the decision of McRuer C.J. in Bardal v. Globe &amp; Mail Ltd. </w:t>
      </w:r>
      <w:hyperlink r:id="rId264" w:history="1">
        <w:r>
          <w:rPr>
            <w:rFonts w:ascii="arial" w:eastAsia="arial" w:hAnsi="arial" w:cs="arial"/>
            <w:i/>
            <w:color w:val="0077CC"/>
            <w:sz w:val="20"/>
            <w:u w:val="single"/>
            <w:shd w:val="clear" w:color="auto" w:fill="FFFFFF"/>
            <w:lang w:val="en-US" w:eastAsia="en-US" w:bidi="ar-SA"/>
          </w:rPr>
          <w:t>(1960), 24 D.L.R. (2d) 140</w:t>
        </w:r>
      </w:hyperlink>
      <w:r>
        <w:rPr>
          <w:rFonts w:ascii="arial" w:eastAsia="arial" w:hAnsi="arial" w:cs="arial"/>
          <w:color w:val="000000"/>
          <w:sz w:val="20"/>
          <w:lang w:val="en-US" w:eastAsia="en-US" w:bidi="ar-SA"/>
        </w:rPr>
        <w:t xml:space="preserve"> (Ont. H.C.J.) where the latter cited the following as factors to be considered in assessing the reasonable notice period: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employee;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service;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position;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availability of similar alternate employment, having regard to the experience, training and qualifications of the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These principles were also cited with approval by the Supreme Court of Canada in Wallace v. United Grain Growers Ltd., </w:t>
      </w:r>
      <w:hyperlink r:id="rId265"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British Columbia Court of Appeal had the opportunity to address reasonable notice in the case of Shinn v. TBC Teletheatre B.C. </w:t>
      </w:r>
      <w:hyperlink r:id="rId266" w:history="1">
        <w:r>
          <w:rPr>
            <w:rFonts w:ascii="arial" w:eastAsia="arial" w:hAnsi="arial" w:cs="arial"/>
            <w:i/>
            <w:color w:val="0077CC"/>
            <w:sz w:val="20"/>
            <w:u w:val="single"/>
            <w:shd w:val="clear" w:color="auto" w:fill="FFFFFF"/>
            <w:lang w:val="en-US" w:eastAsia="en-US" w:bidi="ar-SA"/>
          </w:rPr>
          <w:t>(2001), 85 B.C.L.R. (3d) 75</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2001 BCCA 83</w:t>
        </w:r>
      </w:hyperlink>
      <w:r>
        <w:rPr>
          <w:rFonts w:ascii="arial" w:eastAsia="arial" w:hAnsi="arial" w:cs="arial"/>
          <w:color w:val="000000"/>
          <w:sz w:val="20"/>
          <w:lang w:val="en-US" w:eastAsia="en-US" w:bidi="ar-SA"/>
        </w:rPr>
        <w:t>, where McEachern C.J.B.C. held at paras.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authorities indicate, the purpose of a period of notice is intended to bridge the period between discharge and replacement employment. This period, as demonstrated by the cases just mentioned has been increasing over the past several years to the point where relatively short periods of employment like two or three years often result in awards of eight to 10 months or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views of the learned judges who have made those awards, I have the view that a period of six months - say from January 1 to July 1 for example - or less would be a reasonable period for this plaintiff, who has been employed by the defendant for only three years and three months, to find alternative employment. In the circumstances of this case, I would fix the period of reasonable notice at six months, but I regard that as the upper end of the scale for such a short period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guideline for the appropriate length of notice was recently discussed by this court in the case of Linsdell v. Squamish WK Enterprises Inc., </w:t>
      </w:r>
      <w:hyperlink r:id="rId267" w:history="1">
        <w:r>
          <w:rPr>
            <w:rFonts w:ascii="arial" w:eastAsia="arial" w:hAnsi="arial" w:cs="arial"/>
            <w:i/>
            <w:color w:val="0077CC"/>
            <w:sz w:val="20"/>
            <w:u w:val="single"/>
            <w:shd w:val="clear" w:color="auto" w:fill="FFFFFF"/>
            <w:lang w:val="en-US" w:eastAsia="en-US" w:bidi="ar-SA"/>
          </w:rPr>
          <w:t>[2003] B.C.J. No. 249</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2003 BCSC 188</w:t>
        </w:r>
      </w:hyperlink>
      <w:r>
        <w:rPr>
          <w:rFonts w:ascii="arial" w:eastAsia="arial" w:hAnsi="arial" w:cs="arial"/>
          <w:color w:val="000000"/>
          <w:sz w:val="20"/>
          <w:lang w:val="en-US" w:eastAsia="en-US" w:bidi="ar-SA"/>
        </w:rPr>
        <w:t>. In this case, Lowry J. (as he then was)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one month for each year of employment is a sound starting point, but it should not be viewed as more than a guideline to be taken into account having regard for the circumstances of any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More recently, what constitutes reasonable notice was again considered by the British Columbia Court of Appeal in the case of Coutts v. Brian Jessel Autosports Inc., </w:t>
      </w:r>
      <w:hyperlink r:id="rId268" w:history="1">
        <w:r>
          <w:rPr>
            <w:rFonts w:ascii="arial" w:eastAsia="arial" w:hAnsi="arial" w:cs="arial"/>
            <w:i/>
            <w:color w:val="0077CC"/>
            <w:sz w:val="20"/>
            <w:u w:val="single"/>
            <w:shd w:val="clear" w:color="auto" w:fill="FFFFFF"/>
            <w:lang w:val="en-US" w:eastAsia="en-US" w:bidi="ar-SA"/>
          </w:rPr>
          <w:t>[2005] B.C.J. No. 828</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2005 BCCA 224</w:t>
        </w:r>
      </w:hyperlink>
      <w:r>
        <w:rPr>
          <w:rFonts w:ascii="arial" w:eastAsia="arial" w:hAnsi="arial" w:cs="arial"/>
          <w:color w:val="000000"/>
          <w:sz w:val="20"/>
          <w:lang w:val="en-US" w:eastAsia="en-US" w:bidi="ar-SA"/>
        </w:rPr>
        <w:t>. In this appeal the Court held that 2.5 weeks' notice per year served was appropriate as a guideline on the basis that the employee's skills were readily transferable. It is clear from the authorities quoted above however that a formulaic approach is not appropriate in most cases of wrongful dismissal and that the circumstances of each case must be evaluated in terms of the factors enunciated by Bardal,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Bardal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present case, the plaintiff Husband was 31 years old when his employment with the defendant Company was terminated. He has a business degree from Simon Fraser University. He had no skills whatever when he joined the Company. The Company trained him. At the time of his termination, he was skilled at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his statement of claim, the Husband claims punitive or aggravated damages. Punitive damages are only available where the nature of the conduct is such that it is deserving of punishment because it is harsh or reprehensible. If the misconduct of the employer in dismissing the employee could amount to an independent cause of action for mental distress or loss of reputation, the employee may recover aggravated damages: Vorvis v. Insurance Corp. of British Columbia, </w:t>
      </w:r>
      <w:hyperlink r:id="rId26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evidence before me, I am unable to find a basis to award either punitive or aggravated damages. The defendant Company's conduct was not malicious and in my view, it was not actionable apart from the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Company admits that in normal circumstances, a person in the Husband's position would be entitled to receive a reasonable notice period of five to seven months. It submits, however, that in the circumstances of this case the Husband should not recover any damages because he deceived the Company with respect to his having obtained alternate employment. The Company also submits that the Husband has failed to reasonably mitigate and avoid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Decision on the Wrongful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is evidenced by the speed with which the Husband received alternate employment after he was terminated, I am of the view that his chances of finding other comparable employment at a comparable rate of pay were not at all impaired by the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keeping with the suggested guideline mentioned in Coutts, supra, however, I am of the view that the Husband should be entitled to receive 2.5 weeks per year of his employment with the Company, including the statutory minimum that he has already received. Because he has failed to satisfactorily mitigate his loss, however, I order that he is entitled to be paid for 2.5 weeks per year for six years and three months of his employment instead of for the seven years and three months that he was actually employed by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the Company shall pay to the Husband interest under the Court Order Interest Act. The defendant Company is to be credited with the statutory minimum that has already been paid to the Husband. These payments would be subject to the Family Enforcement Maintenance Program Notice of Attachment and withholding tax under the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Lamontagne v. Andersen et al, </w:t>
      </w:r>
      <w:hyperlink r:id="rId270" w:history="1">
        <w:r>
          <w:rPr>
            <w:rFonts w:ascii="arial" w:eastAsia="arial" w:hAnsi="arial" w:cs="arial"/>
            <w:i/>
            <w:color w:val="0077CC"/>
            <w:sz w:val="20"/>
            <w:u w:val="single"/>
            <w:shd w:val="clear" w:color="auto" w:fill="FFFFFF"/>
            <w:lang w:val="en-US" w:eastAsia="en-US" w:bidi="ar-SA"/>
          </w:rPr>
          <w:t>[2005] B.C.J. No. 551</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2005 BCSC 343</w:t>
        </w:r>
      </w:hyperlink>
      <w:r>
        <w:rPr>
          <w:rFonts w:ascii="arial" w:eastAsia="arial" w:hAnsi="arial" w:cs="arial"/>
          <w:color w:val="000000"/>
          <w:sz w:val="20"/>
          <w:lang w:val="en-US" w:eastAsia="en-US" w:bidi="ar-SA"/>
        </w:rPr>
        <w:t>, Bouck J. gives a good summary of the law at paras. 35-40: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begin, it may be helpful to review the general legal principles that apply cases like the present one where the plaintiff seeks damages arising out of alleged pre-contractual misrepresentations. In Kingu v. Walmar Ventures Ltd. </w:t>
      </w:r>
      <w:hyperlink r:id="rId1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(B.C.C.A.), McLachlin J.A., speaking for the court, discussed the principles at pages 22-23. Here is a brief 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one time, the law confined a plaintiff who sued on pre-contractual representations to remedies available in contract law. If the representation was fraudulent, the plaintiff could obtain rescission and damages. Here, the plaintiff only asks for damages. Today, the law does not confine Mr. Lamontagne to remedies in contract. He may now bring an action in tort for damages based on pre-contractual negligent misrepresentation: Hedley Byrne &amp; Co. v. Heller &amp; Partners Ltd., [1964] A.C. 465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Black's Law Dictionary, 7th ed., page 1016, defines a misrepresentation in these words: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making a false or misleading statement about something, (usually) with the intent to deceive.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so made; an assertion that does not accord with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 has been defined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Black's, supra, at 1016: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false statement that is known to be false or is made recklessly - without knowing or caring whether it is true or false - and that is intended to induce a party to detrimentally rely on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Chitty on Contracts, vol. 1, 29th ed. (London: Sweet &amp; Maxwell, 2004), paragraph 6-04: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succeed in a claim for fraudulent misrepresentation, a plaintiff must prove that: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false representations knowingly or;</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belief in their truth 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so recklessly and were careless in whether the representations made were true or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negligent they may be, the defendants cannot be liable for fraud, provided that their belief is honest; mere carelessness is not sufficient, although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justify an inference that they were not honest: Chitty, supra, at 6-043.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make a statement honestly believing it to be true in the sense they understand it, such as the defendants, are not guilty of fraud because the other party, such as the plaintiff, understands it in a different sense which is false to the defendant's knowledge: Chitty, supra, paragraph 6-047.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test for determining whether a representation is fraudulent is set out in Islip v. Coldmatic Refrigeration of Canada Ltd. </w:t>
      </w:r>
      <w:hyperlink r:id="rId271" w:history="1">
        <w:r>
          <w:rPr>
            <w:rFonts w:ascii="arial" w:eastAsia="arial" w:hAnsi="arial" w:cs="arial"/>
            <w:i/>
            <w:color w:val="0077CC"/>
            <w:sz w:val="20"/>
            <w:u w:val="single"/>
            <w:shd w:val="clear" w:color="auto" w:fill="FFFFFF"/>
            <w:lang w:val="en-US" w:eastAsia="en-US" w:bidi="ar-SA"/>
          </w:rPr>
          <w:t>(2002), 100 B.C.L.R. (3d) 234</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where Smith J.A. stated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their facta, the parties take the elements of a fraudulent misrepresentation from Fridman, The Law of Contract, 3rd ed., p. 295, as follows: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known the representation was false at the time it was made;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to enter into the contract in reliance upon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summary I would add that the misrepresentor must have intended that the victim act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Decision on the Fraudulent Misrepresentation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case at bar, there is no evidence that at the time the statements were made by the Father-in-Law that they were false nor is there any evidence that the Father-in-Law intended that the Husband act on the representation. There is also no credible evidence that these fairly benign statements by the Father-in-Law in any way induced the Husband to sign the Separation Agreement. On the evidence before me, I find that when the Father-in-Law made the statements to the Husband he honestly believed that he could continue to work with his son-in-law notwithstanding the matrimonial dispute with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evidence before me, I find that the Husband has failed to prove that he was induced to sign the Separation Agreement by what was referred to by the Husband as "a fraudulent representation" made by the Father-in-Law. I therefore find the Separation Agreement signed by the Husband and Wife to be a valid and binding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further order that the remainder of the proceeds of sale from the sale of the House which were paid into the Humphry-Paterson trust account be paid out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principal remaining in trust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$62,346.20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to be paid out of trust to the</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Father-in-Law and Mother-in-Law</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$56,803.30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Percentage of interest on monies in trust</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to be paid to Father-in-Law and</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Mother-in-Law</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91.11%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 to be paid out of trust to the Wife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$5,542.90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Wife's percentage of interest in trust</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to be paid to her</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only remaining issues are spousal maintenance and maintenance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Spousal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Having found the Separation Agreement between the Husband and Wife to be valid, I order that there be a judgment for $6,000.00 to the Wife plus fees imposed under the Family Law Enforcement program plus interest under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Maintenance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Wife has urged me to issue a judgment against the Husband for shortfalls in previous child support payments. I do not grant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will make an order fixing ongoing child maintenance payments at $631.00 per month. As counsel for the Wife suggests, $631.00 is the appropriate level of child support under the 2005/2006 Guidelines for a person earning $45,000.00 with two children. I also order that the Husband shall pay 70% of the special and extraordinary expenses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I order that, by May 15, 2006 and May 15 of each year thereafter, the Husband and Wife shall exchange their complete income tax returns for the previous calendar year including all attachments and schedules, their notices of assessment and reassessment from Canada Customs and Revenue Agency, their year-to-date income information with supporting documentation to May 15 in any given year so that child support can be revised effective June 1, 2006 and June 1 in each year thereafter. This order shall remain in effect until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Delivery Drugs Ltd. (c.o.b. Gastown Pharmacy) v. British Columbia (Deputy Minister of Health), [2006] B.C.J. No. 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4 - 5 and September 22 - 23,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L051835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806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Delivery Drugs Ltd. dba Gastown Pharmacy, 610650 B.C. Ltd. dba Priority Drugs and George Wolsey, petitioners, and Penny Ballem, Deputy Minister, Ministry of Health, Province of British Columbia and Heather Davidson, Acting Executive Director, Pharmacare,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Administrative law — Legislative powers or function — Natural justice — Duty of fairness — Procedural fairness — Judicial review and statutory appeal — Deference to expertise of decision maker — Jurisdiction of court to review — Privative clauses — Remedies — Standard of review — Reasonableness — When available — Error or mixed law and fact — Prerogative remedies — Certiorari — Grounds for — Breach of natural justice — Mandamus — Application by two pharmacies and one owner, Wolsey, for judicial review of the decision of the Deputy Minister of Health to terminate Pharmacy Participation Agreements made between PharmaCare and both pharmacies allowed in part — The pharmacies and owner sought judicial review on the basis that the Minister's decisions were made without regard to the duty of fairness and constituted an abuse of process because they were based on irrelevant considerations — Since the Minister breached the duty of procedural fairness, certiorari was granted, the decision to termin ate the Agreements was quashed, and the matter was remitted to the Minister for reconsideration — The claim for certiorari, mandamus or prohibition based on abuse of discretion was dismissed as the co-owner's conviction for fraud was found to justify the Minister's decision to terminate — Continuing Care Act, R.S.B.C. 1996, c. 70, s. 1, s. 3, s. 4, s. 6(2), s. 7, s. 8, s. 10, Continuing Care Programs Regulation, B.C. Reg. 146/ 95, Schedule, s. 1, s. 2, Judicial Review Procedure Act, R.S.B.C. 1996, c. 224, s. 2(2), Pharmacare/PhamaNet Policies and Procedures Manual, s. 1.1.2, s. 1.1.3, s. 6.7, s. 6.7.1, s. 6.7.2, s. 6.7.3.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8"/>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two pharmacies and one owner, Wolsey, for judicial review of the decision of the Deputy Minister of Health to terminate Pharmacy Participation Agreements ("Agreements") made between PharmaCare and both pharmacies on the basis that the decisions were made without regard to the duty of fairness and were based on irrelevant considerations -- The Minister argued that the dispute was a contractual matter and the proper remedy could therefore be obtained in an action for breach of contract against the Crown -- The Agreements, which were renewed annually, enabled each drugstore to participate in PharmaCare and contained a termination clause that did not require cause -- The PharmaCare program enabled participating pharmacies to dispense items to eligible residents and get reimbursed by the province for all or part of the cost of the item -- The program relied on such pharmacies to enter prescription data honestly and only verified entries in the event of a random audit -- The client profile of both ph armacies resulted in each being almost 100 per cent dependent on PharmaCare for its income -- An audit in 2002 revealed billing irregularity and overpayments in excess of $1,537,288 -- The Crown commenced an action to recover that amount but accepted a formal offer to settle for $559,542 plus costs -- As a result of the billing irregularities, a criminal investigation was commenced resulting in both Wolsey and another owner, Rands, being charged with fraud over $5,000 -- Rands pled guilty and subsequently stepped down as officer and director but retained 25 per cent of the shares in one drugstore and 50 per cent of the shares in the other -- Wolsey had yet to be tried and maintained his innocence -- A further audit in 2003 revealed no billing irregularities -- Both Agreements were terminated in July 2005 and the Minister's representative sent a letter to the clients of the two pharmacies advising them of the termination and telling them to seek the services of another pharmacy if they wished to continue to ob tain PharmaCare benefits -- HELD: Application allowed in part -- The Crown's argument that the proper remedy was for breach of contract was rejected as it was found that the PharmaCare program was administered under the legislative framework of the Continuing Care Act -- The legislation displaced the Minister's right to contract at common law as section 4 was intended to provide a complete code to govern the Minister's contractual relations with pharmacies that participated in the PharmaCare program -- The termination clauses in the Agreements, therefore, were invalid as they contradicted the legislation that required termination of such Agreements only for non-compliance -- As the Minister's decision to terminate the Agreements was a legislative decision, it was subject to a duty of procedural fairness -- The Minister breached the duty of procedural fairness as the applicants should have been told the grounds upon which the Minister planned to terminate the Agreements and should have had a right to be heard -- Certiorari was granted, the decision to terminate the Agreements was quashed, and the matter was remitted to the Minister for reconsideration -- With respect to the allegation that the Minister abused her discretion by basing the decision on irrelevant considerations, the standard of review was reasonableness -- The fact that the Minister considered Rands' conviction was a relevant consideration in that criminal fraud was a serious matter, and Rands retained an ownership interest in both pharmacies -- It was found reasonable for the Minister to have terminated the Agreements based on both Rands' conviction and on her concern that permitting those pharmacies to continue under the PharmaCare program would compromise the program's integrity -- It was also reasonable for the Minister to consider deterrence in making her decision -- The Minister's consideration of the past history of billing practices was not reasonable -- As it was found that Rands' conviction alone justified her decision to terminate, the cla im for certiorari, mandamus or prohibition based on abuse of discretion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7"/>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Care Act, S.B.C. 1989, c.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Continuing Care Act, </w:t>
      </w:r>
      <w:hyperlink r:id="rId279" w:history="1">
        <w:r>
          <w:rPr>
            <w:rFonts w:ascii="arial" w:eastAsia="arial" w:hAnsi="arial" w:cs="arial"/>
            <w:i/>
            <w:color w:val="0077CC"/>
            <w:sz w:val="20"/>
            <w:u w:val="single"/>
            <w:shd w:val="clear" w:color="auto" w:fill="FFFFFF"/>
            <w:lang w:val="en-US" w:eastAsia="en-US" w:bidi="ar-SA"/>
          </w:rPr>
          <w:t>R.S.B.C. 1996, c. 70, s. 1</w:t>
        </w:r>
      </w:hyperlink>
      <w:r>
        <w:rPr>
          <w:rFonts w:ascii="arial" w:eastAsia="arial" w:hAnsi="arial" w:cs="arial"/>
          <w:color w:val="000000"/>
          <w:sz w:val="20"/>
          <w:lang w:val="en-US" w:eastAsia="en-US" w:bidi="ar-SA"/>
        </w:rPr>
        <w:t>, s. 2, s. 3, s. 4, s. 4(1), s. 4(5), s. 4(5)(a), s. 5, s. 6, s. 6(2), s. 7, s. 8, s. 9, s. 10, s. 11,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Continuing Care Programs Regulation, </w:t>
      </w:r>
      <w:hyperlink r:id="rId280" w:history="1">
        <w:r>
          <w:rPr>
            <w:rFonts w:ascii="arial" w:eastAsia="arial" w:hAnsi="arial" w:cs="arial"/>
            <w:i/>
            <w:color w:val="0077CC"/>
            <w:sz w:val="20"/>
            <w:u w:val="single"/>
            <w:shd w:val="clear" w:color="auto" w:fill="FFFFFF"/>
            <w:lang w:val="en-US" w:eastAsia="en-US" w:bidi="ar-SA"/>
          </w:rPr>
          <w:t>B.C. Reg. 146/95, s. 1</w:t>
        </w:r>
      </w:hyperlink>
      <w:r>
        <w:rPr>
          <w:rFonts w:ascii="arial" w:eastAsia="arial" w:hAnsi="arial" w:cs="arial"/>
          <w:color w:val="000000"/>
          <w:sz w:val="20"/>
          <w:lang w:val="en-US" w:eastAsia="en-US" w:bidi="ar-SA"/>
        </w:rPr>
        <w:t>, Schedule, Schedule, s. 1, Schedule,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Guaranteed Available Income for Need Act, S.B.C. 1976, c.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Guaranteed Available Income for Need Regulations, B.C. Reg. 479/76,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Judicial Review Procedure Act, R.S.B.C. 1996, c. 224, s. 1,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Pharmacare Newletters,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Pharmacare/PhamaNet Policies and Procedures Manual, s. 1.1.2, s. 1.1.3., s. 1.2.4, s. 4.3.1, s. 6.7, s. 6.7.1, s. 6.7.2, s. 6.7.3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Pharmacists, Pharmacy Operations, and Drug Scheduling Act, </w:t>
      </w:r>
      <w:r>
        <w:rPr>
          <w:rFonts w:ascii="arial" w:eastAsia="arial" w:hAnsi="arial" w:cs="arial"/>
          <w:i/>
          <w:color w:val="000000"/>
          <w:sz w:val="20"/>
          <w:lang w:val="en-US" w:eastAsia="en-US" w:bidi="ar-SA"/>
        </w:rPr>
        <w:t>R.S.B.C. 1996, c. 363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Pharmacy Participation Termination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Social Assistance Act, R.S.B.C. 1960, c.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Social Assistance Regulations, B.C. Reg. 421/74, s. 24, s. 25, Schedule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Supply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Frits E. Verhoeven &amp; E. Lilac Bosma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D. Clifton Prowse, Heidi Hughes &amp; Tara Callan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3"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NEILSON J."/>
            <w:bookmarkEnd w:id="64"/>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seek judicial review of the decision of the respondent Deputy Minister of Health to terminate Pharmacy Participation Agreements made between PharmaCare and each of Gastown Pharmacy and Priority Drugs. These Agreements permitted those petitioners to participate in PharmaCare, a program presently administered by the Ministry of Health (formerly the Ministry of Health Services). The petitioners also seek review of subsequent steps taken by the respondents as a consequence of the termination of those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Delivery Drugs Ltd. was incorporated on February 25, 1999, and operates a pharmacy in Vancouver under the name "Gastown Pharmacy". From its inception until April 21, 2005, David Rands and the petitioner, George Wolsey, who are both pharmacists, were its sole directors and officers. Mr. Rands operated Gastown Pharmacy until early 2005, when he pled guilty to a charge of fraud in connection with the pharmacy's billing practices. Since April 21, 2005 Mr. Wolsey has been Gastown Pharmacy's sole director, and since June 7, 2005 he has been its sole officer. At the time of this hearing, Mr. Wolsey, Mr. Rands, and their wives each owned 25 percent of the shares of Delivery Drugs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 610650 B.C. Ltd. was incorporated on July 13, 2000, and does business as Priority Drugs, a pharmacy in Delta. Between January 6, 2001 and November 21, 2002 Mr. Wolsey and Mr. Rands were its directors and officers. On November 21, 2002 Mr. Rands resigned as director and secretary, and Mr. Wolsey became its sole director and officer until October 1, 2004, when Mark Gibson became its sole director. Mr. Wolsey remains an employee of Priority Drugs. At the time of this hearing, Mr. Rands owned 50 percent of the shares of 610650 Ltd. The remaining 50 percent were held by a company with no relationship to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Gastown Pharmacy and Priority Drugs have had Pharmacy Participation Agreements with PharmaCare since their inception. On June 13, 2005, the respondent Deputy Minister, Dr. Penny Ballem, decided to terminate those Agreements effective August 18, 2005. On July 12, 2005, she wrote identical letters of termination to Mr. Wolsey at Priority Drugs and at Gastown Pharmacy. These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Government of British Columbia is terminating the Agreement pursuant to section 6 of the Agreement, and for reasons which include the following:</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you and Mr. David Rands have been charged with a criminal offence relating to pharmaceutical practice;</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Rands has entered a guilty plea to a criminal offence relating to pharmaceutical practice;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Drugs/Gastown Pharmacy] wrongfully submitted claims for the compounding of anti-retroviral drugs in breach of sections 1.2.4 and 4.3.1 of the PharmaCare Policies and Procedures Manual. In failing to comply with the PharmaCare Policies and Procedures Manual, [Priority Drugs/Gastown Pharmacy] breached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July 15, 2005 the respondent, Heather Davidson, wrote to the clients of Gastown Pharmacy and Priority Drugs advising them of the termination, and telling them to seek services from other pharmacies if they wished to continue to obtain PharmaCare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petitioners seek judicial review of these decisions on the grounds that they were based on irrelevant considerations, and were made without regard to the duty of fairness owed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respondents reply that judicial review is not available to the petitioners as the dispute between the parties is a contractual matter. They say that, if the petitioners have a remedy, it lies in an action for breach of contract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decision has unfortunately been delayed by my intervening commitment to a lengthy criminal jury trial from October 2005 until March 2006. Before commencing my analysis, I wish to acknowledge the fairness of the respondents in agreeing to extend the date for termination of the Pharmacy Participation Agreements, and to retract the notice given to the petitioners' clients, thereby preventing potential prejudice to the petitioners related to my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PharmaCare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PharmaCare, or Pharmacare - it is variously spelled in the material before me - is a pharmaceutical insurance scheme funded by the Province under the annual </w:t>
      </w:r>
      <w:r>
        <w:rPr>
          <w:rFonts w:ascii="arial" w:eastAsia="arial" w:hAnsi="arial" w:cs="arial"/>
          <w:b/>
          <w:i/>
          <w:color w:val="000000"/>
          <w:sz w:val="20"/>
          <w:lang w:val="en-US" w:eastAsia="en-US" w:bidi="ar-SA"/>
        </w:rPr>
        <w:t>Supply Act</w:t>
      </w:r>
      <w:r>
        <w:rPr>
          <w:rFonts w:ascii="arial" w:eastAsia="arial" w:hAnsi="arial" w:cs="arial"/>
          <w:color w:val="000000"/>
          <w:sz w:val="20"/>
          <w:lang w:val="en-US" w:eastAsia="en-US" w:bidi="ar-SA"/>
        </w:rPr>
        <w:t>, and administered by the Ministry of Health. It provides financial assistance to British Columbia residents for eligible prescription drugs and designated medical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PharmaCare began operations in 1974. Its only legislative base was set out in ss. 24 and 25 and Schedule F of the </w:t>
      </w:r>
      <w:r>
        <w:rPr>
          <w:rFonts w:ascii="arial" w:eastAsia="arial" w:hAnsi="arial" w:cs="arial"/>
          <w:b/>
          <w:i/>
          <w:color w:val="000000"/>
          <w:sz w:val="20"/>
          <w:lang w:val="en-US" w:eastAsia="en-US" w:bidi="ar-SA"/>
        </w:rPr>
        <w:t>Social Assistance Regulations</w:t>
      </w:r>
      <w:r>
        <w:rPr>
          <w:rFonts w:ascii="arial" w:eastAsia="arial" w:hAnsi="arial" w:cs="arial"/>
          <w:color w:val="000000"/>
          <w:sz w:val="20"/>
          <w:lang w:val="en-US" w:eastAsia="en-US" w:bidi="ar-SA"/>
        </w:rPr>
        <w:t xml:space="preserve">, B.C. Reg. 421/74, which simply permitted the Director of Welfare to authorize an administering authority to provide payment for prescription drugs to certain classes of citizens through PharmaCare. Eligibility was defined primarily by age and/or dependence on social assistance. Similar provisions appeared in the </w:t>
      </w:r>
      <w:r>
        <w:rPr>
          <w:rFonts w:ascii="arial" w:eastAsia="arial" w:hAnsi="arial" w:cs="arial"/>
          <w:b/>
          <w:i/>
          <w:color w:val="000000"/>
          <w:sz w:val="20"/>
          <w:lang w:val="en-US" w:eastAsia="en-US" w:bidi="ar-SA"/>
        </w:rPr>
        <w:t>Guaranteed Available Income for Need Regulations</w:t>
      </w:r>
      <w:r>
        <w:rPr>
          <w:rFonts w:ascii="arial" w:eastAsia="arial" w:hAnsi="arial" w:cs="arial"/>
          <w:color w:val="000000"/>
          <w:sz w:val="20"/>
          <w:lang w:val="en-US" w:eastAsia="en-US" w:bidi="ar-SA"/>
        </w:rPr>
        <w:t xml:space="preserve">, B.C. Reg. 479/76, when the </w:t>
      </w:r>
      <w:r>
        <w:rPr>
          <w:rFonts w:ascii="arial" w:eastAsia="arial" w:hAnsi="arial" w:cs="arial"/>
          <w:b/>
          <w:i/>
          <w:color w:val="000000"/>
          <w:sz w:val="20"/>
          <w:lang w:val="en-US" w:eastAsia="en-US" w:bidi="ar-SA"/>
        </w:rPr>
        <w:t>Guaranteed Available Income for Need Act</w:t>
      </w:r>
      <w:r>
        <w:rPr>
          <w:rFonts w:ascii="arial" w:eastAsia="arial" w:hAnsi="arial" w:cs="arial"/>
          <w:color w:val="000000"/>
          <w:sz w:val="20"/>
          <w:lang w:val="en-US" w:eastAsia="en-US" w:bidi="ar-SA"/>
        </w:rPr>
        <w:t xml:space="preserve">, S.B.C. 1976, c. 19 repealed and replaced the </w:t>
      </w:r>
      <w:r>
        <w:rPr>
          <w:rFonts w:ascii="arial" w:eastAsia="arial" w:hAnsi="arial" w:cs="arial"/>
          <w:b/>
          <w:i/>
          <w:color w:val="000000"/>
          <w:sz w:val="20"/>
          <w:lang w:val="en-US" w:eastAsia="en-US" w:bidi="ar-SA"/>
        </w:rPr>
        <w:t>Social Assistance Act</w:t>
      </w:r>
      <w:r>
        <w:rPr>
          <w:rFonts w:ascii="arial" w:eastAsia="arial" w:hAnsi="arial" w:cs="arial"/>
          <w:color w:val="000000"/>
          <w:sz w:val="20"/>
          <w:lang w:val="en-US" w:eastAsia="en-US" w:bidi="ar-SA"/>
        </w:rPr>
        <w:t>, R.S.B.C. 1960, c. 360. There were some minor changes to the classes of eligible citizens and the description of eligible drugs and supplies in subsequent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1995 the provisions dealing with prescription drugs were removed from the </w:t>
      </w:r>
      <w:r>
        <w:rPr>
          <w:rFonts w:ascii="arial" w:eastAsia="arial" w:hAnsi="arial" w:cs="arial"/>
          <w:b/>
          <w:i/>
          <w:color w:val="000000"/>
          <w:sz w:val="20"/>
          <w:lang w:val="en-US" w:eastAsia="en-US" w:bidi="ar-SA"/>
        </w:rPr>
        <w:t>Guaranteed Available Income for Need Regulations</w:t>
      </w:r>
      <w:r>
        <w:rPr>
          <w:rFonts w:ascii="arial" w:eastAsia="arial" w:hAnsi="arial" w:cs="arial"/>
          <w:color w:val="000000"/>
          <w:sz w:val="20"/>
          <w:lang w:val="en-US" w:eastAsia="en-US" w:bidi="ar-SA"/>
        </w:rPr>
        <w:t xml:space="preserve">. In the same year, the </w:t>
      </w:r>
      <w:r>
        <w:rPr>
          <w:rFonts w:ascii="arial" w:eastAsia="arial" w:hAnsi="arial" w:cs="arial"/>
          <w:b/>
          <w:i/>
          <w:color w:val="000000"/>
          <w:sz w:val="20"/>
          <w:lang w:val="en-US" w:eastAsia="en-US" w:bidi="ar-SA"/>
        </w:rPr>
        <w:t>Continuing Care Programs Regulation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B.C. Reg. 146/95</w:t>
        </w:r>
      </w:hyperlink>
      <w:r>
        <w:rPr>
          <w:rFonts w:ascii="arial" w:eastAsia="arial" w:hAnsi="arial" w:cs="arial"/>
          <w:color w:val="000000"/>
          <w:sz w:val="20"/>
          <w:lang w:val="en-US" w:eastAsia="en-US" w:bidi="ar-SA"/>
        </w:rPr>
        <w:t xml:space="preserve">, created under the </w:t>
      </w:r>
      <w:r>
        <w:rPr>
          <w:rFonts w:ascii="arial" w:eastAsia="arial" w:hAnsi="arial" w:cs="arial"/>
          <w:b/>
          <w:i/>
          <w:color w:val="000000"/>
          <w:sz w:val="20"/>
          <w:lang w:val="en-US" w:eastAsia="en-US" w:bidi="ar-SA"/>
        </w:rPr>
        <w:t>Continuing Care Act</w:t>
      </w:r>
      <w:r>
        <w:rPr>
          <w:rFonts w:ascii="arial" w:eastAsia="arial" w:hAnsi="arial" w:cs="arial"/>
          <w:color w:val="000000"/>
          <w:sz w:val="20"/>
          <w:lang w:val="en-US" w:eastAsia="en-US" w:bidi="ar-SA"/>
        </w:rPr>
        <w:t xml:space="preserve">, S.B.C. 1989, c. 2, prescribed PharmaCare programs as continuing care under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This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is the only enactment that deals with PharmaCare in any substantive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Continuing Care Programs Regulation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B.C. Reg. 146/95</w:t>
        </w:r>
      </w:hyperlink>
      <w:r>
        <w:rPr>
          <w:rFonts w:ascii="arial" w:eastAsia="arial" w:hAnsi="arial" w:cs="arial"/>
          <w:color w:val="000000"/>
          <w:sz w:val="20"/>
          <w:lang w:val="en-US" w:eastAsia="en-US" w:bidi="ar-SA"/>
        </w:rPr>
        <w:t xml:space="preserve"> and the current </w:t>
      </w:r>
      <w:r>
        <w:rPr>
          <w:rFonts w:ascii="arial" w:eastAsia="arial" w:hAnsi="arial" w:cs="arial"/>
          <w:b/>
          <w:i/>
          <w:color w:val="000000"/>
          <w:sz w:val="20"/>
          <w:lang w:val="en-US" w:eastAsia="en-US" w:bidi="ar-SA"/>
        </w:rPr>
        <w:t>Continuing Care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70</w:t>
      </w:r>
      <w:r>
        <w:rPr>
          <w:rFonts w:ascii="arial" w:eastAsia="arial" w:hAnsi="arial" w:cs="arial"/>
          <w:color w:val="000000"/>
          <w:sz w:val="20"/>
          <w:lang w:val="en-US" w:eastAsia="en-US" w:bidi="ar-SA"/>
        </w:rPr>
        <w:t>, are set out in Appendix A to these Reasons. The interpretation of this legislation is central to the question of whether judicial review is available to the petitioners, and is considered in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PharmaCare program requires an eligible B.C. resident to obtain a prescription from a licensed health care professional, and present it to a participating pharmacy. The pharmacy dispenses the item to the client, and the province then reimburses the pharmacy directly for all or part of the cost of the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PharmaCare uses a computer system known as PharmaNet to calculate reimbursements to pharmacies. Pharmacists at participating pharmacies enter the qualified prescriptions into the PharmaNet system, and the Ministry of Finance transmits funds weekly, directly into the pharmacy's designated bank account, as long as the entry accords with PharmaCare's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PharmaCare regulates its relationship with each participating pharmacy through a Pharmacy Participation Agreement. These Agreements are renewed annually, and signed by the current pharmacy manager on behalf of the pharmacy. They are in a standard form, and set out the information required for each claim, and limitations on charges that may be made. They provide for audits "upon the request of a duly authorized government representative". They also require compliance with PharmaCare policies and procedures "as stated from time to time by the Government of British Columbia or the British Columbia Pharmacists' Society" in consultation with the College of Pharmacists of British Columbia. Paragraph 6 of the Agreement states that it can be terminated by either party on thirty days'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PharmaCare policies and procedures referred to in the Pharmacy Participation Agreements are set out in the </w:t>
      </w:r>
      <w:r>
        <w:rPr>
          <w:rFonts w:ascii="arial" w:eastAsia="arial" w:hAnsi="arial" w:cs="arial"/>
          <w:i/>
          <w:color w:val="000000"/>
          <w:sz w:val="20"/>
          <w:lang w:val="en-US" w:eastAsia="en-US" w:bidi="ar-SA"/>
        </w:rPr>
        <w:t>PharmaCare/PharmaNet Policies and Procedures Manual</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which is available on the PharmaCare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1.1.2 of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states the following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Pharmacists must abide by the PharmaCare policies and procedures outlined in this manual, and those provided in </w:t>
      </w:r>
      <w:r>
        <w:rPr>
          <w:rFonts w:ascii="arial" w:eastAsia="arial" w:hAnsi="arial" w:cs="arial"/>
          <w:i/>
          <w:color w:val="000000"/>
          <w:sz w:val="20"/>
          <w:lang w:val="en-US" w:eastAsia="en-US" w:bidi="ar-SA"/>
        </w:rPr>
        <w:t>PharmaCare Newsletters, PharmaNet Bulletins</w:t>
      </w:r>
      <w:r>
        <w:rPr>
          <w:rFonts w:ascii="arial" w:eastAsia="arial" w:hAnsi="arial" w:cs="arial"/>
          <w:color w:val="000000"/>
          <w:sz w:val="20"/>
          <w:lang w:val="en-US" w:eastAsia="en-US" w:bidi="ar-SA"/>
        </w:rPr>
        <w:t>, and other program directives as issued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1.1.3 indicates that updates of policies and procedures are communicated in </w:t>
      </w:r>
      <w:r>
        <w:rPr>
          <w:rFonts w:ascii="arial" w:eastAsia="arial" w:hAnsi="arial" w:cs="arial"/>
          <w:i/>
          <w:color w:val="000000"/>
          <w:sz w:val="20"/>
          <w:lang w:val="en-US" w:eastAsia="en-US" w:bidi="ar-SA"/>
        </w:rPr>
        <w:t>PharmaCare Newsletters</w:t>
      </w:r>
      <w:r>
        <w:rPr>
          <w:rFonts w:ascii="arial" w:eastAsia="arial" w:hAnsi="arial" w:cs="arial"/>
          <w:color w:val="000000"/>
          <w:sz w:val="20"/>
          <w:lang w:val="en-US" w:eastAsia="en-US" w:bidi="ar-SA"/>
        </w:rPr>
        <w:t xml:space="preserve"> and that these will supersede the policies outlined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6.7 of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establishes a comprehensive audit system. Section 6.7.1 establishes PharmaCare Audit, with a mandate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 reasonable assurance to the taxpayers of British Columbia and the Ministry that pharmacies and individuals are adhering to proper claims practises as required by the </w:t>
      </w:r>
      <w:r>
        <w:rPr>
          <w:rFonts w:ascii="arial" w:eastAsia="arial" w:hAnsi="arial" w:cs="arial"/>
          <w:i/>
          <w:color w:val="000000"/>
          <w:sz w:val="20"/>
          <w:lang w:val="en-US" w:eastAsia="en-US" w:bidi="ar-SA"/>
        </w:rPr>
        <w:t>Pharmacy Participation Agreement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PharmaCare Policies and Procedures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Its duties include performance of pharmacy audits, making recommendations for overpayment recoveries as a result of the audits, and making recommendations with respect to policy and procedure to PharmaCare, based on audit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6.7.2 of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creates the PharmaCare Audit Review Committee ("PARC"). PARC is comprised of employees of PharmaCare and the Finance Division of the Ministry of Health, and oversees the pharmacy audit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6.7.3 sets out the details of the Pharmacy Audit Program. The audit process involves preparation of a draft audit report, which is forwarded to the pharmacy for response. A final audit report is prepared after feedback from the pharmacy. Results of audits may be forwarded to the College of Pharmacists of British Columbia, or to the R.C.M.P. if criminal conduct is suspected. An alternative dispute resolution process is provided to settle disputes over repayment by the pharmacy. The process also permits overpayments to be deducted from amounts owed by PharmaCare to the pharmacy. Pharmacy compliance with the audit process is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2003, a PARC subcommittee developed Pharmacy Participation Termination Guidelines (the "Termination Guidelines"). In December 2003, these were published in the </w:t>
      </w:r>
      <w:r>
        <w:rPr>
          <w:rFonts w:ascii="arial" w:eastAsia="arial" w:hAnsi="arial" w:cs="arial"/>
          <w:i/>
          <w:color w:val="000000"/>
          <w:sz w:val="20"/>
          <w:lang w:val="en-US" w:eastAsia="en-US" w:bidi="ar-SA"/>
        </w:rPr>
        <w:t>PharmaCare Newsletter</w:t>
      </w:r>
      <w:r>
        <w:rPr>
          <w:rFonts w:ascii="arial" w:eastAsia="arial" w:hAnsi="arial" w:cs="arial"/>
          <w:color w:val="000000"/>
          <w:sz w:val="20"/>
          <w:lang w:val="en-US" w:eastAsia="en-US" w:bidi="ar-SA"/>
        </w:rPr>
        <w:t xml:space="preserve">, thereby becoming part of the mandatory PharmaCare policies and procedures referred to in section 1.1.2 of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and in the Pharmacy Participation Agreements. The Termination Guidelines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terms of the Participation Agreement, either party may terminate the agreement on 30 days notice. The terms of the contract do not require cause for termination, and nothing in these guidelines restricts the ability of either party to terminate on 30 days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PharmaCare has a duty to the public to deliver a responsible and accountable program. If circumstances arise which could compromise the integrity of the PharmaCare program, PharmaCare may exercise its right to terminate a contract with a pharmacy. The following guidelines outline some of the circumstances that will result in PharmaCare considering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PharmaCare may terminate the agreement if a pharmacy fails to comply or refuses to comply with the terms of the Participation Agreement or PharmaCare policies.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circumstances that will attract consideration for termination are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charge of a criminal offense relating to pharmaceutical practice.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claims submission where benefits were not provided as claimed, resulting in PharmaCare overpayments.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erroneous claims submissions.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 Pharmacy Participation Agreement is terminated the Ministry may publish the circumstances and the name of a pharmacy.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general, PharmaCare relies on participating pharmacies to enter prescription data into PharmaNet honestly. Their entries are only verified if there is an audit. PharmaCare audits pharmacies randomly if a specific concern is raised, or if billing numbers for a particular drug are far outside provincial norms. In the latter case, such spikes are only discovered as a result of random checks on particular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PharmaCare's objective is to subsidize prescriptions for eligible clients in a cost-effective manner pursuant to its policies. It does not license pharmacies, or regulate and discipline pharmacists. Those matters are left to the College of Pharmacists of British Columbia, pursuant to the </w:t>
      </w:r>
      <w:r>
        <w:rPr>
          <w:rFonts w:ascii="arial" w:eastAsia="arial" w:hAnsi="arial" w:cs="arial"/>
          <w:b/>
          <w:i/>
          <w:color w:val="000000"/>
          <w:sz w:val="20"/>
          <w:lang w:val="en-US" w:eastAsia="en-US" w:bidi="ar-SA"/>
        </w:rPr>
        <w:t>Pharmacists, Pharmacy Operations, and Drug Scheduling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thus no requirement that a pharmacist work at a participating PharmaCare pharmacy in order to practice as a pharmacist in B.C. Nor is PharmaCare the only available funding source for prescription medication. Other sources include federal government programs, as well as a number of private insurance programs. A recent report by the Canadian Institute for Health Information indicates that in 2002 the drug expenditure per capita for British Columbians was $189 from public spending sources and $298 from private funding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PharmaCare's History with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Mr. Wolsey and Mr. Rands are licensed pharmacists. Mr. Wolsey worked at Gastown Pharmacy in 1999 and 2000, until Priority Drugs began operation in October 2000. Since then, he has been employed by Priority Drugs. Mr. Rands operated Gastown Pharmacy from 1999 until early 2005, when he pled guilty to the charge of fraud. As set out earlier in these Reasons, both have been officers and directors of the corporate entities that own the two pharmacies, and both remain shareholders in one or both of those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Substantially all of the clients of Gastown Pharmacy, and 45 percent of the prescriptions at Priority Drugs, involve the provision of medically-prescribed methadone as maintenance therapy for the treatment of heroin addiction. Payment for this service is made by PharmaCare under its Methadone Maintenance Payment Program, and is governed by an addendum to the Pharmacy Participation Agreements with each pharmacy.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pharmacies also dispense other prescriptions for these clients. Since virtually all of their clients are on welfare, they qualify for PharmaCare subsidies for their prescriptions. The client profile of both pharmacies thus results in each being almost 100 percent dependent on PharmaCare for its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June 2000 a PharmaCare audit of Gastown Pharmacy revealed improper billings for methadone dispensed between November 1999 and May 2000. A final audit report dated January 3, 2001 approved recovery of overpayments of $581,087 plus interest. It proposed that repayment be made by Gastown Pharmacy by weekly deductions from future PharmaCare payments, as permitted by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This resulted in repayment of $409,000 by Gastown Pharmacy.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PharmaCare conducted a further inquiry into billing irregularities at Gastown Pharmacy between June 2000 and April 2001. This revealed additional overpayments.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September 2001, the Ministry asked the Vancouver Police Department to conduct a criminal investigation into Gastown Pharmacy's billing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June 2002, PharmaCare made a revised demand for repayment of $1,537,288 from Gastown Pharmacy for all outstanding overpayments, including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When Gastown Pharmacy failed to pay that amount, the Crown commenced an action on October 7, 2002 against Delivery Drugs Ltd. doing business as Gastown Pharmacy, Mr. Rands, Mr. Wolsey, and others, to recover the funds. The statement of claim alleged fraud,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action was concluded in February 2003 when the Crown accepted a formal offer to settle for $559,542 plus costs, made on behalf of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26, 2002, PharmaCare wrote to both Gastown Pharmacy and Priority Drugs, indicating another review of billing practices had revealed further irregularities at both pharmacies. First, both were found to have incorrectly billed PharmaCare and the Centre for Excellence for antiretroviral medication between April 2001 and July 2002. Gastown Pharmacy replied in August 2002, taking full responsibility for this error, and repaid $6,947 to PharmaCare. Priority Drugs also accepted responsibility, but disputed the amount owed. It ultimately repaid $4,195 to PharmaCare in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this review indicated that Priority Drugs had incorrectly claimed $92.50 for methadone for a hospitalized patient in April 2002. Notwithstanding that the patient's physician had specifically requested this, PharmaCare required Priority Drugs to repay that amount on the basis that methadone claims for a patient who is hospitalized are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PharmaCare claimed that Priority Drugs was conducting inappropriate daily dispensing of long term medications. In March 2003 this was found to be without foundation, as the practice had been specifically directed by the physicians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2003, PharmaCare Audit conducted another audit of Gastown Pharmacy with respect to all of its 2002 billings. No further irregularities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PharmaCare Audit also conducted a Daily Dispensing Review of Priority Drugs' records between January 2003 and May 2004. That review concluded that Priority Drugs maintained sufficient documentation for its daily dispensing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June 2004, the police investigation resulted in criminal charges of fraud in excess of $5,000 against Mr. Rands and Mr. Wolsey in connection with the methadone billing practices at Gastown Pharmacy in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February 17, 2005, Mr. Rands pled guilty to the charge against him. He was sentenced to two years less a day on June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Wolsey pled not guilty. His preliminary inquiry was scheduled to commence on February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set out earlier in paragraphs [2] and [3], after his plea Mr. Rands relinquished his position as a director and officer of Delivery Drugs Ltd., and his employment at Gastown Pharmacy. At the time of this hearing, he and his wife each retained a 25 percent ownership in that company, and Mr. Rands also remained a 50 percent owner of 610650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fall of 2004, PARC undertook a review of PharmaCare's history with both Gastown Pharmacy and Priority Drugs, for the purpose of considering whether to terminate their Pharmacy Participation Agreements. PARC also sought legal advice with respect to the implications of terminating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June 2005, Ms. Darlene Therrien, the Audit Manager of the Finance Division of the Ministry of Health and a member of PARC, oversaw preparation of a Decision Briefing Document designed to assist the respondent Deputy Minister in deciding whether to terminate the Pharmacy Participation Agreements. This document begins with the following as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of Health Services entered into a Pharmacy Participation Agreement with Gastown Pharmacy (pharmacy code L54, located in downtown Vancouver) on November 12, 1999, and with Priority Drugs (pharmacy code Q23, located in Delta) on October 3, 2000. Both pharmacies are operated by the same two owners and both have repeatedly violated the terms of their Participation Agreements and of the PharmaCare-PharmaNet policies and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Primary concern</w:t>
      </w:r>
      <w:r>
        <w:rPr>
          <w:rFonts w:ascii="arial" w:eastAsia="arial" w:hAnsi="arial" w:cs="arial"/>
          <w:color w:val="000000"/>
          <w:sz w:val="20"/>
          <w:lang w:val="en-US" w:eastAsia="en-US" w:bidi="ar-SA"/>
        </w:rPr>
        <w:t>: The two owners of these pharmacies have been charged with criminal fraud in excess of $5,000. One owner pled guilty, while the other has pled not-guilty [sic] and will be tried by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Additional issues</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4-month period between July and October 2000, Gastown Pharmacy repeatedly entered an incorrect product identification number (PIN) for methadone, resulting in an additional $409,000 being billed to PharmaCare. Diligent monitoring by PharmaCare Audit caught this problem and weekly adjustments were made to correct the amount paid by PharmaCare.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Gastown Pharmacy entered incorrect PINs for methadone between November 1999 and October 2000, resulting in PharmaCare overpayments. A civil settlement was reached on February 13, 2003, and the pharmacy repaid the overcharges plus interest, for a total of $559,542. The settlement was unconditional.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2002, Gastown Pharmacy inappropriately charged $7,725 to PharmaCare for compounding non-benefit HIV/AIDS drugs. PharmaCare Audit requested repayment and recovered the full amount.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Drugs also charged compounding fees for non-benefit HIV/AIDS drugs in 2002. PharmaCare recovered $4,195 for these claims.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Drugs acted in contravention of its Agreement with PharmaCare several times between May 2001 and August 2004, including filing incorrect, methadone claims, failing to reverse a claim that was not retrieved by the patient, and conducting unauthorized daily dispensing.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briefing note went on to state that the terms of the Pharmacy Participation Agreements permitted termination on 30 days' notice without cause. It referred to the Termination Guidelines, and the failure of the two pharmacies to comply with PharmaCare policies. It offered the view that the compliance histories of both pharmacies provided sufficient reason to consider terminating their Agreements. After summarizing the legal advice received, it set out the pros and cons of three options: termination of the Pharmacy Participation Agreement of Gastown Pharmacy only, termination of the Agreements with both pharmacies, or termination of neither Agreement. It concluded with a recommendation that both Pharmacy Participation Agreements be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June 13, 2005, the Deputy Minister reviewed this material and decided to terminate the Pharmacy Participation Agreements of both pharmacies. On July 12, 2005, she wrote identical letters of termination to Mr. Wolsey at Priority Drugs and at Gastown Pharmacy. The substance of these was earlier set out in paragraph [4]. Termination was to be effective August 18,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July 15, 2005, the respondent, Ms. Davidson, sent letters to the clients of Gastown Pharmacy and Priority Drugs advising that, as of August 18, 2005, those pharmacies would no longer be entitled to participate in PharmaCare, and suggesting that the clients take their business to other participating pharmacies. As well, the pharmacies' weekly electronic fund transfers through PharmaNet were initially withheld for review. By the time of this hearing, however, those had been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mentioned previously in paragraph [8] the effective date of August 18, 2005 has since been postponed by consent pending this decision, and the clients of the pharmacies have been advised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Are the petitioners entitled to judicial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review?</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2(2) of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R.S.B.C. 1996, c. 224</w:t>
        </w:r>
      </w:hyperlink>
      <w:r>
        <w:rPr>
          <w:rFonts w:ascii="arial" w:eastAsia="arial" w:hAnsi="arial" w:cs="arial"/>
          <w:color w:val="000000"/>
          <w:sz w:val="20"/>
          <w:lang w:val="en-US" w:eastAsia="en-US" w:bidi="ar-SA"/>
        </w:rPr>
        <w:t xml:space="preserve"> provides for the following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an application for judicial review, the court may grant any relief that the applicant would be entitled to in any one or more of the proceedings for: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relief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prohibition or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"Statutory power" is defined in s. 1, and includes a power or right conferred by an enactment to exercise a statutory power of decision. "Statutory power of decision" is also defined in s. 1. The relevant part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power of decision" means a power or right conferred by an enactment to make a decision deciding or prescribing</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rights, powers, privileges, immunities, duties or liabilities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respondents argue that the decision to terminate the Pharmacy Participation Agreements did not involve the exercise of a statutory power of decision. Instead, the ability to enter and terminate such contracts arises from the common law powers the Crown enjoys as a natural person. They say that paragraph 6 of the Pharmacy Participation Agreements permitted the Deputy Minister to terminate them without cause on thirty days' notice. Any claim by the petitioners arising from her decision is governed by the private law of contract, and does not attract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petitioners reply that the decision to terminate the Pharmacy Participation Agreements was an exercise of a statutory power of decision under s. 4(5) of the </w:t>
      </w:r>
      <w:r>
        <w:rPr>
          <w:rFonts w:ascii="arial" w:eastAsia="arial" w:hAnsi="arial" w:cs="arial"/>
          <w:b/>
          <w:i/>
          <w:color w:val="000000"/>
          <w:sz w:val="20"/>
          <w:lang w:val="en-US" w:eastAsia="en-US" w:bidi="ar-SA"/>
        </w:rPr>
        <w:t>Continuing Care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Continuing Care Programs Regulation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B.C. Reg. 146/95</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They say that PharmaCare has been prescribed as continuing care under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pursuant to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Thus,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permits the Minister to enter written agreements with operators providing continuing care, has displaced the Crown's common law powers to contract with pharmacies that provide PharmaCare benefits. The Minister's decision to terminate the Pharmacy Participation Agreements was made pursuant to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the opinion of the minister, an operator fails or refuses to comply with a provision of an applicable standard, guideline or directive, a term or condition of the agreement entered into under subsection (1) or a provision of this Act, the minister may, in writing, notify the operator that the agreement is terminated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provisions in the agreement for notification of termination by the minister,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date established by the minister, if</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does not provide for notification of termination by the minister in the circumstances, or</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determines that termination earlier than permitted by the agreement is necessary to protect the health or safety of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petitioners say that the Deputy Minister therefore could not terminate the Agreements without cause, and her decision to do so attracts relief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find that the decision in </w:t>
      </w:r>
      <w:r>
        <w:rPr>
          <w:rFonts w:ascii="arial" w:eastAsia="arial" w:hAnsi="arial" w:cs="arial"/>
          <w:b/>
          <w:i/>
          <w:color w:val="000000"/>
          <w:sz w:val="20"/>
          <w:lang w:val="en-US" w:eastAsia="en-US" w:bidi="ar-SA"/>
        </w:rPr>
        <w:t>Pharmaceutical Manufacturers Association of Canada v. British Columbia (Attorney General)</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(1997), 149 D.L.R. (4th) 613</w:t>
        </w:r>
      </w:hyperlink>
      <w:r>
        <w:rPr>
          <w:rFonts w:ascii="arial" w:eastAsia="arial" w:hAnsi="arial" w:cs="arial"/>
          <w:color w:val="000000"/>
          <w:sz w:val="20"/>
          <w:lang w:val="en-US" w:eastAsia="en-US" w:bidi="ar-SA"/>
        </w:rPr>
        <w:t xml:space="preserve"> (B.C.C.A.) provides a useful starting point in examining the parties' positions. There, the Court considered whether the Ministry's reference-based pricing of drugs, adopted to reduce costs of PharmaCare, was authorized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whether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precluded the adoption of the policy. At para. 20 of the judgment, Madam Justice Newbury framed the question as one of statutory construction: did the terms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indicate an intention on the Legislature's part to create a code that covered all aspects of continuing care benefits? In considering that question, she adopted Lord Atkinson's summary of the doctrine of statutory displacement in </w:t>
      </w:r>
      <w:r>
        <w:rPr>
          <w:rFonts w:ascii="arial" w:eastAsia="arial" w:hAnsi="arial" w:cs="arial"/>
          <w:b/>
          <w:i/>
          <w:color w:val="000000"/>
          <w:sz w:val="20"/>
          <w:lang w:val="en-US" w:eastAsia="en-US" w:bidi="ar-SA"/>
        </w:rPr>
        <w:t>Attorney General v. DeKeyser's Royal Hotel, Ltd.</w:t>
      </w:r>
      <w:r>
        <w:rPr>
          <w:rFonts w:ascii="arial" w:eastAsia="arial" w:hAnsi="arial" w:cs="arial"/>
          <w:color w:val="000000"/>
          <w:sz w:val="20"/>
          <w:lang w:val="en-US" w:eastAsia="en-US" w:bidi="ar-SA"/>
        </w:rPr>
        <w:t>, [1920] A.C. 508 (H.L.) at 539-40: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prefer to say that when such a statute, expressing the will and intention of the King and of the three estates of the realm, is passed, it abridges the Royal Prerogative while it is in force to this extent: that the Crown can only do the particular thing under and in accordance with the statutory provisions, and that its prerogative power to do that thing is in abeyance. Whichever mode of expression be used, the result intended to be indicated is, I think, the same - namely, that after the statute has been passed, and while it is in force, the thing it empowers the Crown to do can thenceforth only be done by and under the statute, and subject to all the limitations, restrictions and conditions by it imposed, however unrestricted the Royal Prerogative may theretofore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Applying that doctrine to the circumstances before the Court, Newbury, J.A. found at paras. 21-23 that nothing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precluded the implementation of reference-based pricing by PharmaCare.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respondents argue that this is dispositive of the issues here. They say that the Court of Appeal found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create a code covering all aspects of the PharmaCare program, and the Crown's common law powers to contract with pharmacies are therefore not abrogated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am unable to agree. In </w:t>
      </w:r>
      <w:r>
        <w:rPr>
          <w:rFonts w:ascii="arial" w:eastAsia="arial" w:hAnsi="arial" w:cs="arial"/>
          <w:b/>
          <w:i/>
          <w:color w:val="000000"/>
          <w:sz w:val="20"/>
          <w:lang w:val="en-US" w:eastAsia="en-US" w:bidi="ar-SA"/>
        </w:rPr>
        <w:t>Pharmaceutical Manufacturers</w:t>
      </w:r>
      <w:r>
        <w:rPr>
          <w:rFonts w:ascii="arial" w:eastAsia="arial" w:hAnsi="arial" w:cs="arial"/>
          <w:color w:val="000000"/>
          <w:sz w:val="20"/>
          <w:lang w:val="en-US" w:eastAsia="en-US" w:bidi="ar-SA"/>
        </w:rPr>
        <w:t xml:space="preserve"> it was clear that there was no express provision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dealt with reference-based pricing. Nor did the Court directly address the interpretation of s. 4, which specifically deals with contractual relationships between the Crown and the operators that provide continuing care. In fact, para. 16 of the judgment expressly left open the application of s. 4 to contractual relations in the context of PharmaCare. By contrast, in this case s. 4 is directly engaged by the petitioners' arguments. If pharmacies are properly included in the definition of operators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consideration must be given to whether s. 4 has displaced the Crown's common law right to enter and terminate contracts with them. I find that, as in </w:t>
      </w:r>
      <w:r>
        <w:rPr>
          <w:rFonts w:ascii="arial" w:eastAsia="arial" w:hAnsi="arial" w:cs="arial"/>
          <w:b/>
          <w:i/>
          <w:color w:val="000000"/>
          <w:sz w:val="20"/>
          <w:lang w:val="en-US" w:eastAsia="en-US" w:bidi="ar-SA"/>
        </w:rPr>
        <w:t>Pharmaceutical Manufacturers</w:t>
      </w:r>
      <w:r>
        <w:rPr>
          <w:rFonts w:ascii="arial" w:eastAsia="arial" w:hAnsi="arial" w:cs="arial"/>
          <w:color w:val="000000"/>
          <w:sz w:val="20"/>
          <w:lang w:val="en-US" w:eastAsia="en-US" w:bidi="ar-SA"/>
        </w:rPr>
        <w:t xml:space="preserve">, the question is one of statutory interpretation: does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intend to create a code covering all aspects of contractual relations between the Minister and operators who provide continuing care prescribed under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21 the Supreme Court of Canada adopted what has been described as the "modern principle of statutory interpretation", encapsulated by Elmer Driedger in </w:t>
      </w:r>
      <w:r>
        <w:rPr>
          <w:rFonts w:ascii="arial" w:eastAsia="arial" w:hAnsi="arial" w:cs="arial"/>
          <w:i/>
          <w:color w:val="000000"/>
          <w:sz w:val="20"/>
          <w:lang w:val="en-US" w:eastAsia="en-US" w:bidi="ar-SA"/>
        </w:rPr>
        <w:t>The Construction of Statutes</w:t>
      </w:r>
      <w:r>
        <w:rPr>
          <w:rFonts w:ascii="arial" w:eastAsia="arial" w:hAnsi="arial" w:cs="arial"/>
          <w:color w:val="000000"/>
          <w:sz w:val="20"/>
          <w:lang w:val="en-US" w:eastAsia="en-US" w:bidi="ar-SA"/>
        </w:rPr>
        <w:t>, 2nd ed. (Toronto: Butterworths, 1993) at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words of an Act are to be read in their entire context,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a later edition, R. Sullivan in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4th ed. (Markham, Ont.: Butterworths, 2002) at 3 the offers this definition of what constitutes an appropriate interpretation of a statute: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appropriate interpretation is one that can be justified in terms of (a) its plausibility, that is, its compliance with the legislative text; (b) its efficacy, that is its promotion of legislative intent; and (c) its acceptability, that is the outcome complies with legal norms; it is reasonable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Turning to the interpretation of the legislation here, which is set out in Appendix A, "continuing care" is defined in s. 1 as the provision of health care services prescribed under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Section 3 gives the Lieutenant Governor in Council power to prescribe to be continuing care "health care services to persons with a frailty or with an acute or chronic illness or disability that do not require admission to a hospital". Thus, s. 3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are central to the definition of what is "continuing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1995, PharmaCare programs, "including but not limited to" a list of specific plans, were prescribed as continuing care under the Schedule to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In 2003, B.C. Reg. 190/2003 prescribed an additional PharmaCare program, Fair Pharmacare, as continuing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deals with agreements between the Minister and "operators" that cover payments made by the government on behalf of clients who receive continuing care from the operator. An operator is defined in s. 1 as a person who has entered such an agreement for the provision of continuing care. Section 4 deals with the terms of such agreements. As previously set out, s. 4(5) deals with their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 5 gives the Minister discretion to decide who will receive continuing care that will be paid for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Section 6 deals with the rates that may be charged to clients for continuing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Section 7 permits the Minister to appoint inspectors to inspect the records and facilities of an operator. Section 8 permits the Minister to appoint an administrator to deliver continuing care in place of an operator, if he has reasonable grounds to believe that the health or safety of the clients receiving continuing care from that operator are at risk. Section 12 creates offences for the contravention of some sections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respondents maintain that, properly interpreted, this statutory scheme has no application to PharmaCare's contractual relations with pharmacies in the administration of PharmaCare programs. Since its creation in 1974, PharmaCare has operated as a Ministry program with a minimal legislative basis. They argue that, in prescribing PharmaCare as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Lieutenant Governor in Council did not intend to change this by providing a comprehensive legislative framework to govern PharmaCare. In particular, they say that there was no legislative intent to limit the Crown's common law powers by introducing statutory regulation of contractual relations between the Ministry and pharmacies participating in PharmaCare. In support, they cite the presumption that the legislature does not intend to interfere with common law rights except in clear and unambiguous terms: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xml:space="preserve"> at 341.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respondents argue that the purpose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limited to oversight of prescribed health care services provided by continuing care facilities to the limited client population described in s. 3. PharmaCare, on the other hand, serves a broader client base. Notably, under Plan C and the Fair Pharmacare Program, which are prescribed by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eligibility for PharmaCare is based solely on financial means. The respondents say that many clients who qualify for PharmaCare under those Plans do not have a frailty, or an acute or chronic illness or disability, and therefore do not fall under s. 3. For example, pharmacies may dispense medications such as birth control pills to healthy clients who are entitled to Pharmacare subsidies under Plan C or Fair PharmaCare because of their low income, and not because they fall under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Thus, pharmacies participating in Pharmacare clearly provide services that are not covered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respondents also point to a number of aspects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that they say are incompatible with the terms of the Pharmacy Participation Agreements. For example, they say that there is no need for oversight of pharmacies through inspectors and an administrator under ss. 7 and 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as pharmacies and pharmacists are regulated by the College of Pharmacists of B.C. and the B.C. Pharmacists Society. As well, under the terms of the Pharmacy Participation Agreements, they are subject to PharmaCare's own policies, procedures, and audit process, as set out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Such regulation provides protection for all PharmaCare clients, not just those covered by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respondents say it is clear that the Minister's interests in regulating pharmacies that participate in PharmaCare go beyond the provision of subsidized medication to the limited clientele covered by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Accordingly,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cannot be properly interpreted as creating a complete code to govern contractual relations between the Minister and participating pharmacies. Instead, the Pharmacy Participation Agreements are properly viewed as arising from the Crown's broad powers to contract at common law. Section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permissive and simply adds to those powers, rather than displacing them. It does not limit them expressly, or by necessary implication. While the Minister may contract with pharmacies providing services to s. 3 clientele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he is not obliged to do so. He may instead choose to contract with them under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am unable to agree with the interpretation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put forward by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find that the object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to provide a framework for government oversight and administration of delivery of selected health care services to clientele who, although not hospitalized, are either temporarily or permanently in a vulnerable state of health. In addition to addressing the needs of that population, the legislative scheme acknowledges the public interest in achieving safe, cost-effective and reliable delivery of such services. The integral means of achieving those objectives is the statutory regulation of relations between the Minister and the operators who deliver those services. Section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governs agreements between those parties, and provides clarity and consistency in their contractual arrangements. Operators are mandated to comply with the agreements and other standards set by the Minister. The Minister may only terminate the agreements for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services that are prescribed to be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clearly set out in the Schedule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 find nothing ambiguous in the broad prescription of PharmaCare programs "including but not limited to" those listed in s. 2 of the Schedule. I conclude there is a clear legislative intent to bring PharmaCare within the scheme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see nothing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to support the respondents' contention that the prescription of PharmaCare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limited to PharmaCare delivered to clients in continuing care facilities. First, if that were the case, it would only have been necessary to prescribe Plan B of PharmaCare under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as Plan B specifically covers residents of long term care facilities. Instead, all PharmaCare programs have been prescribed as continuing care. Second,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contains no restriction on the settings in which continuing care is to be provided. Third, s. 1 of the Schedule to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includes a number of services that are clearly provided to clients who are in their own homes, such as home support services, meal services, and home oxygen. Finally, the fact that the population served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includes people with acute, or short-term, illnesses or disabilities argues against any suggestion that residency in a continuing care facility is a precondition to receiving services prescribed as continuing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short, on the plain wording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 find that the prescription of PharmaCare programs as continuing care was intended to bring the administration of those programs under the legislative framework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at least insofar as those programs serve the population defined by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follows that s. 4 governs the contractual relations between the Minister, operating here in the guise of PharmaCare, and the "operators" who will provide PharmaCare as continuing care. Pharmacists working in pharmacies are the only people qualified to dispense the medications that are the substance of PharmaCare programs. Thus, the Minister will necessarily choose to contract with pharmacists or pharmacies as operators under s. 4 to deliver PharmaCare as continuing care to the s. 3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disagree with the respondents that the discretion given to the Minister by s. 4(1) may be interpreted as permitting him to bypass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completely in his contractual dealings with operators. In my view, that discretion relates instead to his choice of who will be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Nor do I agree with the respondents that the provisions for oversight of operators in ss. 7 and 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incompatible with the oversight provided in the form of pharmacy participation agreements used by the Ministry. Section 4 is broad enough to permit inclusion of additional regulatory features unique to pharmacies as "applicable standards, guidelines, or directives". As well, ss. 4 and 6(2) provide the necessary flexibility to set dispensing fees in a manner suited to the particular requirements of PharmaNet and PharmaCare. In short, I find that the only thing in the form of pharmacy participation agreements that is at odds with the requirements of s. 4 is the "no cause" termination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My interpretation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as a whole lead me to conclude that s. 4 is intended to provide a complete code to govern the Minister's contractual relations with those pharmacies that participate in PharmaCare, and that dispense subsidized medications as continuing care to clients with a frailty, or with an acute or chronic illness or disability, but who are not in hospital. I find that the Minister's rights to contract at common law with such pharmacies has been displaced by s. 4, and agreements between these parties must instead be made in conformity with that legislation. One corollary of this is that the Minister cannot include a term in those agreements that permits termination without cause, as that would be in direct conflict with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find some support for this conclusion in </w:t>
      </w:r>
      <w:r>
        <w:rPr>
          <w:rFonts w:ascii="arial" w:eastAsia="arial" w:hAnsi="arial" w:cs="arial"/>
          <w:b/>
          <w:i/>
          <w:color w:val="000000"/>
          <w:sz w:val="20"/>
          <w:lang w:val="en-US" w:eastAsia="en-US" w:bidi="ar-SA"/>
        </w:rPr>
        <w:t>Associated Respiratory Services Inc. v. British Columbia (Purchasing Commission)</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(1994), 108 D.L.R. (4th) 577</w:t>
        </w:r>
      </w:hyperlink>
      <w:r>
        <w:rPr>
          <w:rFonts w:ascii="arial" w:eastAsia="arial" w:hAnsi="arial" w:cs="arial"/>
          <w:color w:val="000000"/>
          <w:sz w:val="20"/>
          <w:lang w:val="en-US" w:eastAsia="en-US" w:bidi="ar-SA"/>
        </w:rPr>
        <w:t xml:space="preserve"> (B.C.C.A.). In that case, the Court considered the nature and scope of the legislative authority to carry out administrative action in relation to the Home Oxygen Program of the Ministry of Health, which supplied oxygen and other services to chronically ill people at home. The Ministry had taken steps to alter its relations with commercial suppliers of oxygen, effectively destroying the business of the petitioner, who sought judicial review. At that time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required designation, rather than prescription, of health care services as continuing care. The Home Oxygen Program had not been designated, and the Minister therefore took the position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did not apply. At 587, the Court found that, once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passed, it occupied the field of continuing care and, if the province sought to administer and fund a continuing care program, it had to do so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acknowledge that in </w:t>
      </w:r>
      <w:r>
        <w:rPr>
          <w:rFonts w:ascii="arial" w:eastAsia="arial" w:hAnsi="arial" w:cs="arial"/>
          <w:b/>
          <w:i/>
          <w:color w:val="000000"/>
          <w:sz w:val="20"/>
          <w:lang w:val="en-US" w:eastAsia="en-US" w:bidi="ar-SA"/>
        </w:rPr>
        <w:t>Pharmaceutical Manufacturers</w:t>
      </w:r>
      <w:r>
        <w:rPr>
          <w:rFonts w:ascii="arial" w:eastAsia="arial" w:hAnsi="arial" w:cs="arial"/>
          <w:color w:val="000000"/>
          <w:sz w:val="20"/>
          <w:lang w:val="en-US" w:eastAsia="en-US" w:bidi="ar-SA"/>
        </w:rPr>
        <w:t xml:space="preserve"> Newbury J.A. at para. 19 questioned the approach of "occupied field" taken by the Court in </w:t>
      </w:r>
      <w:r>
        <w:rPr>
          <w:rFonts w:ascii="arial" w:eastAsia="arial" w:hAnsi="arial" w:cs="arial"/>
          <w:b/>
          <w:i/>
          <w:color w:val="000000"/>
          <w:sz w:val="20"/>
          <w:lang w:val="en-US" w:eastAsia="en-US" w:bidi="ar-SA"/>
        </w:rPr>
        <w:t>Associated Respiratory Services Inc.</w:t>
      </w:r>
      <w:r>
        <w:rPr>
          <w:rFonts w:ascii="arial" w:eastAsia="arial" w:hAnsi="arial" w:cs="arial"/>
          <w:color w:val="000000"/>
          <w:sz w:val="20"/>
          <w:lang w:val="en-US" w:eastAsia="en-US" w:bidi="ar-SA"/>
        </w:rPr>
        <w:t xml:space="preserve">, in part because there was no express contradiction between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provincial policy in question. Here, however, there is an express contradiction between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government policy as exemplified in the terms of the pharmacy participation agreements used by PharmaCare. Section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specifies termination only for non-compliance, while the agreements permit termination without cause. While the decision in </w:t>
      </w:r>
      <w:r>
        <w:rPr>
          <w:rFonts w:ascii="arial" w:eastAsia="arial" w:hAnsi="arial" w:cs="arial"/>
          <w:b/>
          <w:i/>
          <w:color w:val="000000"/>
          <w:sz w:val="20"/>
          <w:lang w:val="en-US" w:eastAsia="en-US" w:bidi="ar-SA"/>
        </w:rPr>
        <w:t>Associated Respiratory Services Inc.</w:t>
      </w:r>
      <w:r>
        <w:rPr>
          <w:rFonts w:ascii="arial" w:eastAsia="arial" w:hAnsi="arial" w:cs="arial"/>
          <w:color w:val="000000"/>
          <w:sz w:val="20"/>
          <w:lang w:val="en-US" w:eastAsia="en-US" w:bidi="ar-SA"/>
        </w:rPr>
        <w:t xml:space="preserve"> is not directly analogous, I find it does support the view that, once a health care service is prescribed as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 must be provided in accordance with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or not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have found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displace the Minister's common law contractual rights with respect to operators who serve s. 3 clients. There remains the respondents' argument that, because PharmaCare serves a broader population than that defined by s. 3,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provide a complete code for the administration of PharmaCare. The respondents point out that, among the services prescribed by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PharmaCare is unique in that it also provides benefits to clients who do not have the characteristics set out in s. 3. They argue that since PharmaCare services for these clients fall outside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follows that s. 4 was not intended to displace the Minister's rights to contract with participating pharmacies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agree that PharmaCare serves a wider client base than that covered by s.3, and that it appears to be the only health care service prescribed as continuing care that has this characteristic. I also agree that this distinction is not expressly addressed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in a manner that assists in determining what the legislative intent was with respect to administration of PharmaCare benefits directed to clients who do not fall within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the absence of express guidance in the legislation, there are three possible interpretations. The first is that put forward by the respondents, that they are free to ignore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administer PharmaCare under the common law. The second is that the Minister may make two separate agreements with participating pharmacies, one that complies with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s. 3 clients, and one governed by the common law to cover services for all other clients. The third is that s. 4 should govern all agreements made by the Minister with participating pharmacies.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Dealing first with the respondents' position, they say the Minister is free to carry on the business of PharmaCare under the Crown's common law powers as he has always done, without regard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material filed in this proceeding indicates that this is in fact what has transpired. The Ministry apparently made no changes to the form of pharmacy participation agreements, or to any other aspects of PharmaCare administration, when PharmaCare was prescribed as continuing care. Until 1997,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managed by a separate branch of the Ministry, the Home and Community Care Branch. Since then, the Minister has delegated his powers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the regional health authorities in the province. There is no evidence as to how, if at all, these bodies have liaised with PharmaCare, or provided PharmaCare as continuing care to clients covered by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There is nothing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in the Ministry's documents, or in its dealings with the petitioners that acknowledges a role for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the administration of PharmaCare. The only evidence that the Ministry has acknowledged any link between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PharmaCare appears in one line of a publication on the PharmaCare website called </w:t>
      </w:r>
      <w:r>
        <w:rPr>
          <w:rFonts w:ascii="arial" w:eastAsia="arial" w:hAnsi="arial" w:cs="arial"/>
          <w:i/>
          <w:color w:val="000000"/>
          <w:sz w:val="20"/>
          <w:lang w:val="en-US" w:eastAsia="en-US" w:bidi="ar-SA"/>
        </w:rPr>
        <w:t>PharmaCare Trends 2003,</w:t>
      </w:r>
      <w:r>
        <w:rPr>
          <w:rFonts w:ascii="arial" w:eastAsia="arial" w:hAnsi="arial" w:cs="arial"/>
          <w:color w:val="000000"/>
          <w:sz w:val="20"/>
          <w:lang w:val="en-US" w:eastAsia="en-US" w:bidi="ar-SA"/>
        </w:rPr>
        <w:t xml:space="preserve"> which states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"amended through regulation to include legislative authority for PharmaCare".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difficulty I have with the respondents' position is that it makes the prescription of PharmaCare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meaningless. The inclusion of PharmaCare as continuing care clearly introduced an expanded legislative base for its administration and oversight, at least insofar as PharmaCare benefits for clients covered by s. 3 are concerned. I am unable to accept that this legislative change was made for no purpose, or that the legislative intent was that the Minister was to ignore it. I accordingly reject the respondents' view that, because PharmaCare serves a broader clientele than that covered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Minister is free to completely disregard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second possibility is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implicitly requires two separate agreements between the Minister and pharmacies participating in PharmaCare, one made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with respect to s. 3 clients, and one governed by the common law with respect to other clients eligible for PharmaCare. This is perhaps the most reasonable interpretation based on the plain wording of the legislation. It would also ensure that at least the s. 3 clients, and the pharmacies serving them, enjoy the intended benefits and are subject to the regulatory measures set out in the legislation. However, I reject it as I find that the clear impracticalities of such a dual contractual scheme, dictated by the nature of a pharmacy's clientele, produce an absurd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First, the clientele of any pharmacy, and their pharmaceutical needs, are fluid. For example, a healthy client who needs birth control pills and is covered by PharmaCare Plan C, which is purely means-based, would not ordinarily receive PharmaCare benefits as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However, if she were to break her leg, she would become eligible to receive PharmaCare benefits as continuing care, including both her birth control pills and any medications related to her injury, as she now has an "acute disability" and thus falls within the s. 3 population, at least for a limited time. Once recovered, she would again be outside the ambit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Thus, if PharmaCare is administered through a system of dual contracts, the question of which clients and which prescriptions fell under which agreement would need to be constantly reassessed.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Moreover, to use the present circumstances as an example, it would clearly be illogical to let client characteristics dictate the rights and relief available to a pharmacy on termination of a pharmacy participation agreement. Yet, in a system of dual contracts, that would be the result. The Minister would first have to determine whether the basis for termination related to PharmaCare provided as continuing care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PharmaCare provided to clients falling outside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In the former case, the situation would be governed by s. 4(5). The pharmacy could only be terminated for non-compliance. The Minister would have an attendant duty of procedural fairness, and the pharmacy would be entitled to relief by way of judicial review. In the latter case, the pharmacy's agreement could be terminated without cause, and its remedy would be limited to an action for breach of contract. If the Minister sought to terminate both agreements, these inconsistencies would clearly raise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xml:space="preserve"> at 244 states that a proposed interpretation that would result in persons receiving different treatment for inadequate reasons, or for no reason, is one of the most frequently recognized forms of absurdity. I conclude that, in this case, an interpretation endorsing different contractual arrangements dictated by client characteristics would clearly be absurd. It would not accord with the legislative purpose of regulating contractual relations with operators in a consistent and fair manner. Nor would it serve the public interest in cost-effective delivery of services. I reject the view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implicitly endorses such a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third possible interpretation is that all of the Minister's agreements with pharmacies participating in PharmaCare must be governed by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While I appreciate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expressly provide for this, it is my view that this is the only resolution consistent with what I have found to be the legislative intent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Furthermore, I find nothing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precludes such an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This approach would ensure that the clients covered by s. 3 receive PharmaCare in accord with the intended statutory framework for government oversight and administration of health care provided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acknowledges the public interest in delivery of safe, cost-effective and reliable health care services, not just to the s. 3 population, but to all clients of PharmaCare. It places all contractual relations on the same footing, removing concerns of lack of clarity or unfairness in dealing with the contractual rights of the participating pharmacies.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Moreover, such an interpretation presents little prejudice to PharmaCare. I have found s. 4 permits agreements with pharmacies in the same terms as the present form of pharmacy participation agreements, with the exception of the termination clause. In my view, there would be little harm in incorporating s. 4(5) to govern termination of such agreements. That provision gives the Minister wide discretion. I have found that standards such as the Termination Guidelines developed by PARC properly form part of the applicable standards, guidelines, or directives that may govern termination under s. 4(5). I note that, despite the fact that the petitioners' Pharmacy Participation Agreements permitted termination on 30 days' notice without cause, the process followed by the Deputy Minister in terminating them actually closely paralleled that envisioned by s. 4(5). The termination was stated to be for cause, as set out in the Termination Guidelines. Finally, s. 4(5)(a) leaves the Minister free to set the notice period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my mind, the essential question is a choice between an interpretation that permits the Minister to ignore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despite the fact that a substantial portion of PharmaCare clients fall within it, or one that forces the Minister to comply with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even though it does not encompass all clients eligible for PharmaCare benefits. To use the petitioners' circumstances as an example, the respondents do not dispute that most of the clients of Gastown Pharmacy and Priority Drugs are on welfare, and are recovering heroin addicts on methadone. As such, they fall within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receive their prescriptions as continuing care. In these circumstances what is the justification for permitting the Minister to contract with these pharmacies on terms that are harsher than those required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simply because a few of the pharmacies' clients fall outside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the words of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xml:space="preserve">, I conclude that the interpretation that is most plausible, efficacious, and acceptable, and that most closely accords with the legislative purpose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that portrayed by the third option I have set out. I accordingly find that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intended to create a complete code governing the Minister's contractual relations with pharmacies that participate in PharmaCare, and that the common law right of the Crown to contract with such pharmacies in the administration of PharmaCare has been displaced by that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s. 4(5) governed the termination of the Pharmacy Participation Agreements of Gastown Pharmacy and Priority Drugs. The decision of the Deputy Minister to terminate them was thus the exercise of a statutory power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petitioners are entitled to seek relief by way of judicial review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the respondents owe the petitioners a duty of procedural fairness?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respondents' decision to terminate the Pharmacy Participation Agreements with Gastown Pharmacy and Priority Drugs was an administrative decision affecting the rights of the petitioners. As such, a duty of procedural fairness applied to that decision: </w:t>
      </w:r>
      <w:r>
        <w:rPr>
          <w:rFonts w:ascii="arial" w:eastAsia="arial" w:hAnsi="arial" w:cs="arial"/>
          <w:b/>
          <w:i/>
          <w:color w:val="000000"/>
          <w:sz w:val="20"/>
          <w:lang w:val="en-US" w:eastAsia="en-US" w:bidi="ar-SA"/>
        </w:rPr>
        <w:t>Baker v. Canada (Minister of Citizenship and Immigration)</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content of the duty of procedural fairness is flexible and variable, and depends on the statutory context and the rights affected in each case. The underlying purpose of the duty is to ensure that administrative decisions are made fairly and openly, in a manner appropriate to their context, and with an opportunity for those affected to have their views heard and considered by the decision maker: </w:t>
      </w:r>
      <w:r>
        <w:rPr>
          <w:rFonts w:ascii="arial" w:eastAsia="arial" w:hAnsi="arial" w:cs="arial"/>
          <w:b/>
          <w:i/>
          <w:color w:val="000000"/>
          <w:sz w:val="20"/>
          <w:lang w:val="en-US" w:eastAsia="en-US" w:bidi="ar-SA"/>
        </w:rPr>
        <w:t>Baker</w:t>
      </w:r>
      <w:r>
        <w:rPr>
          <w:rFonts w:ascii="arial" w:eastAsia="arial" w:hAnsi="arial" w:cs="arial"/>
          <w:color w:val="000000"/>
          <w:sz w:val="20"/>
          <w:lang w:val="en-US" w:eastAsia="en-US" w:bidi="ar-SA"/>
        </w:rPr>
        <w:t xml:space="preserve"> at paras. 21, 22, and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At paras. 23 - 27 of </w:t>
      </w:r>
      <w:r>
        <w:rPr>
          <w:rFonts w:ascii="arial" w:eastAsia="arial" w:hAnsi="arial" w:cs="arial"/>
          <w:b/>
          <w:i/>
          <w:color w:val="000000"/>
          <w:sz w:val="20"/>
          <w:lang w:val="en-US" w:eastAsia="en-US" w:bidi="ar-SA"/>
        </w:rPr>
        <w:t>Baker</w:t>
      </w:r>
      <w:r>
        <w:rPr>
          <w:rFonts w:ascii="arial" w:eastAsia="arial" w:hAnsi="arial" w:cs="arial"/>
          <w:color w:val="000000"/>
          <w:sz w:val="20"/>
          <w:lang w:val="en-US" w:eastAsia="en-US" w:bidi="ar-SA"/>
        </w:rPr>
        <w:t>, Madam Justice L'Heureux-Dubé set out five factors that, while not exhaustive, assist in determining whether a decision was made in accord with the duty of fairness owed: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decision being made;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role of the decision within the statutory scheme;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decision to those affected by it;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legitimate expectation of the person challenging the decision;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choices of procedure made by the decision maker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Turning to those factors in this case, I find that the decision to terminate the petitioners' Pharmacy Participation Agreements was an administrative decision which does not approach the judicial end of the spectrum. Thus, procedural protections similar to those in the trial model are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With respect to the statutory scheme, the decision to terminate these Agreements pursuant to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a final decision, and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provide for an appeal. Nor does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set out any procedural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find it useful to contrast this with the PharmaCare audit procedures set out in s. 6.7.3 of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which are incorporated in the Pharmacy Participation Agreements, and which I have found to fall within the "standards, guidelines or directives" referred to in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Those procedures require PARC to provide an audited pharmacy with a draft audit report for a response within 30 days. A response from the pharmacy is considered, and all or part of it may be incorporated into the final audit report issued by PARC. In the event of a dispute, an alternative dispute resolution process provides for a meeting with the pharmacy manager in response to a final audit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view, it would be reasonable to expect a similar process with respect to the Minister's decision to terminate a pharmacy participation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the third factor, the decision to terminate the Pharmacy Participation Agreements clearly has a significant effect on the business of the petitioners. The respondents do not dispute Mr. Wolsey's claim that virtually 100 percent of the revenue of both Gastown Pharmacy and Priority Drugs is derived from payments by PharmaCare. Mr. Wolsey states that both pharmacies will be forced out of business if they are no longer able to participate in PharmaCare.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Despite those severe consequences, however, it cannot be said that the petitioners have been completely deprived of their livelihood. The termination of the Pharmacy Participation Agreements does not preclude Mr. Wolsey from continuing to work as a pharmacist, or from owning a pharmacy. As well, Gastown Pharmacy and Priority Drugs remain free to develop a clientele which is not covered by PharmaCare, albeit with some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the fourth factor, which deals with legitimate expectations of the petitioners, of little import here. The only aspect of the dealings between the parties that might be said to have created expectations as to how termination would be dealt with are the Termination Guidelines published by the respondents in December 2003. These set out circumstances that may attract termination. Here, it is apparent that the respondents followed these Guidelines in terminating the petitioners'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fifth factor deals with the choices of procedure made by the decision- maker. As I have noted, there is no procedure for termination set out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xml:space="preserve">, other than the requirement that the Minister be of the opinion that an operator has not complied with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 term of the agreement, or an applicable standard, guideline or directive. It is nevertheless clear that the respondents did not take the decision to terminate lightly in this case. Through PARC, they conducted reviews and audits of the business of the petitioners. They examined the facts in the context of the Termination Guidelines, and they sought several legal opinions. These steps were summarized in the Decision Briefing Document which was submitted to the Deputy Minister for her consideration. These procedures, however, did not provide for notice to the petitioners that termination was being contemplated. Nor were they given an opportunity to present their views prior to the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Having considered these factors, I conclude that the duty of procedural fairness owed to the petitioners in this case lies at the lower end of the spectrum. I find that the petitioners were entitled to know the grounds upon which the respondents planned to terminate the Pharmacy Participation Agreements, and that they had a right to an opportunity to be heard. I do not find an oral hearing would be required. There are no issues of credibility, and the exchange of views can productively be done in writing. As well, I find that, following this exchange of views, the petitioners were entitled to a written explanation specifying the basis on which the respondents took their final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Clearly, some of those procedural steps were not followed here. The petitioners were given no notice of the respondents' intention to terminate the Pharmacy Participation Agreements, and no opportunity to be heard, before the decision had been made. I acknowledge that they were given a sufficient written explanation of the basis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respondents argue that, despite the breach of the duty of procedural fairness, there is no point in remitting the matter to them since the result will be no different. I find that is not a valid basis on which to deny a remedy for breach of the duty of procedural fairness. That breach rendered the respondents' decision invalid. The matter must be remitted to them for consideration in accordance with the rules of procedural fairness: </w:t>
      </w:r>
      <w:r>
        <w:rPr>
          <w:rFonts w:ascii="arial" w:eastAsia="arial" w:hAnsi="arial" w:cs="arial"/>
          <w:b/>
          <w:i/>
          <w:color w:val="000000"/>
          <w:sz w:val="20"/>
          <w:lang w:val="en-US" w:eastAsia="en-US" w:bidi="ar-SA"/>
        </w:rPr>
        <w:t>Cardinal v. Director of Kent Institution</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2 S.C.R. 643</w:t>
        </w:r>
      </w:hyperlink>
      <w:r>
        <w:rPr>
          <w:rFonts w:ascii="arial" w:eastAsia="arial" w:hAnsi="arial" w:cs="arial"/>
          <w:color w:val="000000"/>
          <w:sz w:val="20"/>
          <w:lang w:val="en-US" w:eastAsia="en-US" w:bidi="ar-SA"/>
        </w:rPr>
        <w:t xml:space="preserve"> at 661; </w:t>
      </w:r>
      <w:r>
        <w:rPr>
          <w:rFonts w:ascii="arial" w:eastAsia="arial" w:hAnsi="arial" w:cs="arial"/>
          <w:b/>
          <w:i/>
          <w:color w:val="000000"/>
          <w:sz w:val="20"/>
          <w:lang w:val="en-US" w:eastAsia="en-US" w:bidi="ar-SA"/>
        </w:rPr>
        <w:t>Wong v. College of Traditional Chinese Medicine Practitioners and Acupuncturists (British Columbia)</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[2005] B.C.J. No. 2219</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2005 BCCA 509</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is accordingly granted, the decision to terminate the Pharmacy Participation Agreements of Gastown Pharmacy and Priority Drugs is quashed, and the matter is remitted to the respondents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Abuse of Discretion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petitioners argue that the Minister, acting through the respondents, abused his discretion by considering irrelevant or inappropriate considerations in deciding to terminate the Pharmacy Participation Agreements.</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Consideration of this allegation first requires identification of the correct standard of review as a guide to determining the degree of deference to be given to the Deputy Minister's decision: </w:t>
      </w:r>
      <w:r>
        <w:rPr>
          <w:rFonts w:ascii="arial" w:eastAsia="arial" w:hAnsi="arial" w:cs="arial"/>
          <w:b/>
          <w:i/>
          <w:color w:val="000000"/>
          <w:sz w:val="20"/>
          <w:lang w:val="en-US" w:eastAsia="en-US" w:bidi="ar-SA"/>
        </w:rPr>
        <w:t>Ryan v. Law Society (New Brunswick)</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[2003] 1 S.C.R. 247</w:t>
        </w:r>
      </w:hyperlink>
      <w:r>
        <w:rPr>
          <w:rFonts w:ascii="arial" w:eastAsia="arial" w:hAnsi="arial" w:cs="arial"/>
          <w:color w:val="000000"/>
          <w:sz w:val="20"/>
          <w:lang w:val="en-US" w:eastAsia="en-US" w:bidi="ar-SA"/>
        </w:rPr>
        <w:t xml:space="preserve"> at para. 45. The central question is who did the Legislature intend to have the final say in deciding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Supreme Court of Canada has established a pragmatic and functional approach to determination of the standard of review. In </w:t>
      </w:r>
      <w:r>
        <w:rPr>
          <w:rFonts w:ascii="arial" w:eastAsia="arial" w:hAnsi="arial" w:cs="arial"/>
          <w:b/>
          <w:i/>
          <w:color w:val="000000"/>
          <w:sz w:val="20"/>
          <w:lang w:val="en-US" w:eastAsia="en-US" w:bidi="ar-SA"/>
        </w:rPr>
        <w:t>Dr. Q v. College of Physician and Surgeons (British Columbia)</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1 S.C.R. 226</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SCC 19</w:t>
        </w:r>
      </w:hyperlink>
      <w:r>
        <w:rPr>
          <w:rFonts w:ascii="arial" w:eastAsia="arial" w:hAnsi="arial" w:cs="arial"/>
          <w:color w:val="000000"/>
          <w:sz w:val="20"/>
          <w:lang w:val="en-US" w:eastAsia="en-US" w:bidi="ar-SA"/>
        </w:rPr>
        <w:t xml:space="preserve"> McLachlin C.J.C., at para. 26, set out the four contextual factors to be considered in determining what standard of review should be applied: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or absence of a privative clause or statutory right of appeal;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expertise of the tribunal relative to that of the reviewing court on the issue in question;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the legislation and the provision in particular;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question - law, fact, or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Turning to the first of those factors in this case, there is no privative clause or statutory right of appeal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 do not agree with the respondents that s. 10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limits the personal liability of the Minister and others acting on his behalf, has a privative nature. The absence of a privative clause is neutral, and does not imply a high standard of scrutiny: </w:t>
      </w:r>
      <w:r>
        <w:rPr>
          <w:rFonts w:ascii="arial" w:eastAsia="arial" w:hAnsi="arial" w:cs="arial"/>
          <w:b/>
          <w:i/>
          <w:color w:val="000000"/>
          <w:sz w:val="20"/>
          <w:lang w:val="en-US" w:eastAsia="en-US" w:bidi="ar-SA"/>
        </w:rPr>
        <w:t>Pushpanathan v. Canada (Minister of Citizenship and Immigration)</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examining the second factor, relative expertise, the expertise of the decision-maker, the court's own expertise relative to the decision-maker, and the nature of the specific issue to be decided must all be considered. Expertise may arise from a number of sources, including "relative institutional expertise" gained through the administration and implementation of the relevant legislation: </w:t>
      </w:r>
      <w:r>
        <w:rPr>
          <w:rFonts w:ascii="arial" w:eastAsia="arial" w:hAnsi="arial" w:cs="arial"/>
          <w:b/>
          <w:i/>
          <w:color w:val="000000"/>
          <w:sz w:val="20"/>
          <w:lang w:val="en-US" w:eastAsia="en-US" w:bidi="ar-SA"/>
        </w:rPr>
        <w:t>Dr. Q</w:t>
      </w:r>
      <w:r>
        <w:rPr>
          <w:rFonts w:ascii="arial" w:eastAsia="arial" w:hAnsi="arial" w:cs="arial"/>
          <w:color w:val="000000"/>
          <w:sz w:val="20"/>
          <w:lang w:val="en-US" w:eastAsia="en-US" w:bidi="ar-SA"/>
        </w:rPr>
        <w:t xml:space="preserve"> at paras. 28 and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Here, the specific issue is whether the Deputy Minister properly reached the opinion that Priority Drugs and Gastown Pharmacy had failed to comply with an applicable standard, guideline or directive, or a term or condition of the Pharmacy Participation Agreements, in a manner that justified termination of those Agreements pursuant to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Although the Deputy Minister did not purport to terminate the Agreements under s. 4(5), but instead acted on common law principles, I find that the issue she addressed in reaching her decision closely approximated that set out in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concluding that the Agreements should be terminated, she relied heavily on the application of PharmaCare policies, procedures, and guidelines, as well as reviews and other material provided by PharmaCare Audit and PARC. As set out in paragraph [19], these bodies are mandated to ensure that pharmacies and individuals adhere to proper claims practices as required by their pharmacy participation agreements and PharmaCare policies and procedures. They perform audits on pharmacies, and make recommendations about policy and procedure to PharmaCare based on audit outcomes. They have available statistical information compiled from pharmacy practices throughout the province that permits them to assess how significantly a pharmacy's billing practices depart from the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her access to these sources suggests that the Deputy Minister will have greater relative institutional expertise than the Court in applying PharmaCare policies and procedures. This may be particularly relevant in assessing the significance of any non-compliance by a pharmacy, and whether it is of sufficient severity to justify termination. Such expertise supports greater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other hand, the question of whether sufficient cause to terminate an agreement has been established has a large legal component to it. That is evident here in the fact that three legal opinions were sought before the Deputy Minister made the decision to terminate the petitioners' Agreements. This is a matter with which courts routinely deal, and it cannot be said that the Deputy Minister should be shown any greater deference insofar as her decision was based on a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third factor requires an examination of the general purpose of the statutory scheme within which the decision is made. Increased deference is required where legislation is intended to resolve and balance competing policy objectives or interests, or where it confers a broad discretionary power on the decision maker. A legislative purpose that departs significantly from the normal role of the courts also indicates a level of greater deference is required. On the other hand, a provision that seeks to determine rights between two parties will demand less deference from the reviewing court. The question of relative expertise may again be relevant: </w:t>
      </w:r>
      <w:r>
        <w:rPr>
          <w:rFonts w:ascii="arial" w:eastAsia="arial" w:hAnsi="arial" w:cs="arial"/>
          <w:b/>
          <w:i/>
          <w:color w:val="000000"/>
          <w:sz w:val="20"/>
          <w:lang w:val="en-US" w:eastAsia="en-US" w:bidi="ar-SA"/>
        </w:rPr>
        <w:t>Dr. Q</w:t>
      </w:r>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have found that the purpose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to ensure delivery of designated health care services, including PharmaCare programs, to clients in a vulnerable state of health, within a framework of government oversight and administration. The legislative scheme also acknowledges the public interest in achieving safe, cost effective and reliable delivery of those services. As well, it endorses clear, consistent, and fair contractual relations with the operators who deliver the services. Thus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some extent involves the balancing of competing interests, particularly those of the operators and the clients they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Agreements entered into by the Minister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a focal part of that framework, and provide a means of delineating how the competing rights will be balanced. Section 4(5) gives the Minister significant discretion in deciding whether "in his opinion" non-compliance will justify termination of an agreement. This suggests greater deference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the other hand, the Minister's discretion is not unlimited, in that he may only terminate an agreement for non-compliance with known standards. As well, as previously discussed, the decision to terminate an agreement is one that falls regularly within the ambit of judicial decisions. It is also a matter that involves a determination of the rights of two parties. These factors militate against greater deference from a reviewing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fourth factor requires an examination of the nature of the question. I find that the question of whether there was non-compliance with a provision of an applicable standard, guideline or directive, or a term or condition of the agreement or a provision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a question of law, to the extent that it requires an indication of a breach of a known standard. However, that question need be answered only by the Minister's "opinion". That discretion suggests an analysis that is largely fact-driven.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conclude the question is one of mixed fact and law, with factual considerations playing a larger role. This indicates a more deferential approach to the decision-maker.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Having considered all four factors, I conclude that the appropriate standard of review is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While the Minister and his delegates have relative institutional expertise in assessing non-compliance, and discretion under s. 4(5), the issue itself - the termination of contractual rights - falls within conventional judicial expertise, and raises an issue of mixed fact and law. I find that the combination of these factors supports review on the middle ground of reasonableness.</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standard of reasonableness to the decision to terminate the Pharmacy Participation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Ryan</w:t>
      </w:r>
      <w:r>
        <w:rPr>
          <w:rFonts w:ascii="arial" w:eastAsia="arial" w:hAnsi="arial" w:cs="arial"/>
          <w:color w:val="000000"/>
          <w:sz w:val="20"/>
          <w:lang w:val="en-US" w:eastAsia="en-US" w:bidi="ar-SA"/>
        </w:rPr>
        <w:t xml:space="preserve"> at paras. 47-56 the Court offers the following guidance with respect to applying review on a standard of reasonableness. It requires a somewhat probing examination to determine whether the reasons given for the decision, when taken as whole, support it. It is not a review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the reviewing court is not to engage in its own reasoning on the matter, or to consider whether the decision is correct. Instead, it must stay close to the reasons given by the decision-maker, and examine whether they adequately support the decision. A decision will only be unreasonable if there is no line of analysis that could reasonably lead the decision-maker from the evidence before her to her conclusion. If any of the reasons sufficient to support the conclusion is tenable, the reviewing court must not interfere. Nor must every element of the reasoning independently pass a test of reasonableness. The question is whether the reasons as a whole are tenable as support for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D. Jones and A. deVillars in </w:t>
      </w:r>
      <w:r>
        <w:rPr>
          <w:rFonts w:ascii="arial" w:eastAsia="arial" w:hAnsi="arial" w:cs="arial"/>
          <w:i/>
          <w:color w:val="000000"/>
          <w:sz w:val="20"/>
          <w:lang w:val="en-US" w:eastAsia="en-US" w:bidi="ar-SA"/>
        </w:rPr>
        <w:t>Principles of Administrative Law</w:t>
      </w:r>
      <w:r>
        <w:rPr>
          <w:rFonts w:ascii="arial" w:eastAsia="arial" w:hAnsi="arial" w:cs="arial"/>
          <w:color w:val="000000"/>
          <w:sz w:val="20"/>
          <w:lang w:val="en-US" w:eastAsia="en-US" w:bidi="ar-SA"/>
        </w:rPr>
        <w:t xml:space="preserve">, 4th ed. (Toronto, Ont.: Thomson Carswell, 2004) at 522 suggest that review of discretionary decisions, like that of the Deputy Minister here, can conceptually be broken into two inquiries. First, did she act within the ambit of the discretion granted to her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by considering relevant factors and not considering irrelevant factors? This step involves the determination of what is or is not a relevant factor. Second, assuming that she did act within the ambit of the discretion granted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was her exercise of that discretion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It is therefore necessary to identify the factors considered by the Deputy Minister, and examine their relevance in the context of the legislative purpose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Here, those factors are set out in the letters of termination and the Decision Briefing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begin by observing that these documents make no reference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is understandable, given the respondents' view that the Pharmacy Participation Agreements were governed by the common law of contract. If the decision process indicated that the Deputy Minister had simply terminated those Agreements without cause, pursuant to paragraph 6 of the Agreements, I would find that decision unreasonable, given that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non-compliance before termination is justified. I am satisfied, however, that the process followed here clearly demonstrates that, while the Minister's representatives believed they had the option to terminate without cause, they did not in fact follow that course. Instead, they conducted an extensive review that ultimately convinced the Deputy Minister that there was cause for termination, and the petitioners were given the reasons for that decision. In doing so, the respondents relied heavily on the Termination Guidelines, which I have found to be applicable guidelines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 accordingly find that, although inadvertent, the decision of the Deputy Minister essentially mirrored a decision pursuant to s. 4(5)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 proceed to review it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set out previously, the legislative objective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government regulation and oversight of the provision of prescribed health care services to vulnerable clients. Those services are publicly funded, and the legislation acknowledges the public interest in reliable and cost-effective delivery of such services. The primary means of implementing those legislative objectives is agreements between the Minister and the operators who provide the services, pursuant to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mandatory compliance by those operators with the agreements and other standards, guidelines, or directives issued by the Minister. Non-compliance merits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Here, the letters of termination sent to the petitioners state three reasons for the decision to terminate the Pharmacy Participation Agreements. First, Mr. Wolsey and Mr. Rands had been charged with a criminal offence relating to pharmaceutical practice. Second, Mr. Rands pled guilty to the charge. Third, both Priority Drugs and Gastown Pharmacy wrongly submitted claims with respect to anti-retroviral drugs, in breach of policies set out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Decision Briefing Document sets out the background to the letters. It mentions the criminal charges against Mr. Wolsey and Mr. Rands, and Mr. Rands' guilty plea, as the "primary concern". Then, under the heading "Additional issues" it reviews the billing history of both pharmacies. This includes the overpayments for methadone detected at Gastown Pharmacy in 1999 - 2000, which led to the civil action and settlement in 2003 and the criminal charges, and the repayments by both Gastown Pharmacy and Priority Drugs for improperly billed retrovirals in 2002. The Briefing Document refers to the Termination Guidelines and offers the view that the compliance history alone of both pharmacies justifies termination of the Agreements. It also states that the pharmacy owners have consistently exhibited an unwillingness to cooperate with PharmaCare Audit and PharmaCare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Briefing Document refers to PharmaCare's duty to the public to deliver a responsible and accountable program, and PharmaCare's right to terminate an agreement with a pharmacy if there are circumstances which could compromise the integrity of the program. It summarizes the legal opinions obtained, which supported termination under the terms of the Pharmacy Participation Agreements. These opinions warn, however, that the ability to terminate the Agreements based on past events may be limited due to delay in taking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Finally, in setting out the options for the Deputy Minister, the Briefing Document advocates termination of the Pharmacy Participation Agreements with both pharmacies in part for deterrence, to "send a message" to other pharmacies. It also voices the concern that to do otherwise would lead to a public perception that the government is condoning criminal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Dealing first with the criminal charges against Mr. Wolsey and Mr. Rands, and Mr. Rands' conviction, the petitioners argue that these were irrelevant and inappropriate considerations as the Minister has waived the right to terminate on the basis of this fraud. They say that the charges arise from the same facts that were the focus of the civil suit. That action was settled unconditionally four years ago. Since then, the Minister permitted Gastown Pharmacy and Priority Drugs to remain in business with full knowledge of the facts that constituted the fraud. They say that it was therefore inappropriate for the Deputy Minister to reverse that decision now, and terminate the Pharmacy Participation Agreements. While the Termination Guidelines list criminal charges as a legitimate consideration, those Guidelines cannot operate retroactively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petitioners also argue that, even if Mr. Rands' conviction was an appropriate factor for consideration, the Deputy Minister was unreasonable in failing to distinguish the import of the conviction on him, compared with each of the petitioners. They point out that Mr. Rands is no longer a director, officer, or employee of either pharmacy. Mr. Wolsey is disputing the charge against him, and has not been convicted. They say it is Draconian and flies in the face of the presumption of innocence to penalize Mr. Wolsey on the basis of Mr. Rands' conviction, by removing his only source of income. An unproven charge should only form the basis for termination if it can be demonstrated that it puts clients at risk, or in some way jeopardizes delivery of PharmaCare services. The petitioners also point out that Priority Drugs was not involved at all in the events that led to the civil suit and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Finally, the petitioners argue that meting out consequences for criminal charges or convictions of pharmacists in the course of their business falls solely under the jurisdiction of the College of Pharmacists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am unable to agree that the conviction of Mr. Rands was an irrelevant consideration. The Termination Guidelines, which constitute a standard under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list "a charge of a criminal offence relating to pharmaceutical practice" as an appropriate consideration with respect to termination. I find a conviction for fraud, related to conduct in the course of a publicly funded business, is clearly relevant to the question of whether that business should be permitted to continue operation, and legitimately falls within the legislative objectives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do not view the Termination Guidelines as operating retroactively. They were published as part of the mandatory policies in the </w:t>
      </w:r>
      <w:r>
        <w:rPr>
          <w:rFonts w:ascii="arial" w:eastAsia="arial" w:hAnsi="arial" w:cs="arial"/>
          <w:i/>
          <w:color w:val="000000"/>
          <w:sz w:val="20"/>
          <w:lang w:val="en-US" w:eastAsia="en-US" w:bidi="ar-SA"/>
        </w:rPr>
        <w:t>PharmaCare Newsletter</w:t>
      </w:r>
      <w:r>
        <w:rPr>
          <w:rFonts w:ascii="arial" w:eastAsia="arial" w:hAnsi="arial" w:cs="arial"/>
          <w:color w:val="000000"/>
          <w:sz w:val="20"/>
          <w:lang w:val="en-US" w:eastAsia="en-US" w:bidi="ar-SA"/>
        </w:rPr>
        <w:t xml:space="preserve"> well before the charges were laid, and the conviction registered. There is nothing to suggest they were specifically directed at the petitioners'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I appreciate the facts underlying Mr. Rands' conviction are the same as those related to the earlier civil suit, I disagree with the petitioners that this precludes consideration of the conviction as a basis for termination. The police investigation and prosecution were conducted independently of the Ministry, and were directed at different public interest objectives than recovery of funds. I find a criminal fraud, proven beyond a reasonable doubt, is significantly more serious than a settlement of civil litigation with no admission of personal liability. Mr. Rands' conviction related to fraud committed while participating in PharmaCare, a program administered by the government, and funded from the public purse. In my view, these factors legitimately introduced new and relevant concerns for consideration by the Deputy Minister, independent of the civil litigation and settlement, with respect to both the integrity of the PharmaCare program, and public perception of accountability of PharmaCare.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appreciate that Mr. Rands was no longer an officer or director of Delivery Drugs Ltd., or an employee of Gastown Pharmacy, when he was sentenced. Nevertheless he had a long association with Gastown Pharmacy, and he retains a 25 percent ownership interest in that business. A close relative holds a further 25 percent interest. As well, Mr. Rands still holds 50 percent of the shares in 610650 B.C. Ltd., the owner of Priority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Finally, I disagree with the petitioners' view that concerns about a criminal conviction of a pharmacist in the course of his business fall solely within the jurisdiction of the College of Pharmacists of British Columbia. I find that PharmaCare has legitimate concerns with respect to the effect of such a conviction on its programs, independent of the mandate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find that Mr. Rands' conviction, and his ongoing association with Gastown Pharmacy and Priority Drugs, provide a legitimate basis for the respondents' concern that permitting those pharmacies to continue to participate in PharmaCare would compromise the integrity of that program, and the public perception of government accountability. I find those were relevant factors for the Deputy Minister to consider in the context of the legislative objectives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 conclude that it was not unreasonable for her to terminate the Pharmacy Participation Agreements of both pharmacies. In the words of </w:t>
      </w:r>
      <w:r>
        <w:rPr>
          <w:rFonts w:ascii="arial" w:eastAsia="arial" w:hAnsi="arial" w:cs="arial"/>
          <w:b/>
          <w:i/>
          <w:color w:val="000000"/>
          <w:sz w:val="20"/>
          <w:lang w:val="en-US" w:eastAsia="en-US" w:bidi="ar-SA"/>
        </w:rPr>
        <w:t>Ryan</w:t>
      </w:r>
      <w:r>
        <w:rPr>
          <w:rFonts w:ascii="arial" w:eastAsia="arial" w:hAnsi="arial" w:cs="arial"/>
          <w:color w:val="000000"/>
          <w:sz w:val="20"/>
          <w:lang w:val="en-US" w:eastAsia="en-US" w:bidi="ar-SA"/>
        </w:rPr>
        <w:t>, the conviction of Mr. Rands provides tenable support for the Deputy Minister's decision. A finding on that factor alone is sufficient to pass the test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will nevertheless comment on the other factors considered by the Deputy Minister. With respect to the charge of fraud against Mr. Wolsey, I agree with the petitioners that, although the Termination Guidelines state a charge may be the basis for termination, an unproven charge does not have the same status as a criminal conviction. It is inconclusive. In my view, a charge alone should only be a relevant factor in terminating a pharmacy's business if it is clear that permitting the pharmacy to continue to participate in PharmaCare pending the outcome of the criminal trial presents risk or harm to clients or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Here, for example, Mr. Wolsey strongly disputes his guilt. If the Pharmacy Participation Agreements had been terminated solely because of the charge against him, he would experience significant and irreversible financial consequences even if he were ultimately acquitted. In such circumstances, I would expect the Deputy Minister's analysis to include a finding of risk or harm that justified termination prior to the conclusion of his trial. Here I do not see an analysis leading to such a finding. Thus, if the termination had been based on the charge against Mr. Wolsey in isolation, I would find that decision had been based on an irrelevant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Next, the petitioners argue that deterrence is an irrelevant factor, and that it was unreasonable for the Deputy Minister to consider "sending a message" to other pharmacies as a basis for terminating the Pharmacy Participation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view misconceives the concept of deterrence. Deterrence is not an objective in itself. It arises only as a corollary to a finding of some other wrongdoing. In this case, that wrongdoing was the established criminal fraud of Mr. Rands in the course of his pharmaceutical practice. Consideration of deterrence was ancillary to that factor, and as such, was a relevant consideration, given the public interest in the integrity of PharmaCare. I find support for this view in the fact that the Termination Guidelines do provide for publication of a pharmacy's circumstances and name when a pharmacy participation agreement has been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accordingly find that it was reasonable for the Deputy Minister to consider deterrence in making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Finally, the letter of termination listed wrongful claim submissions related to anti-retroviral drugs, contrary to policies set out in the </w:t>
      </w:r>
      <w:r>
        <w:rPr>
          <w:rFonts w:ascii="arial" w:eastAsia="arial" w:hAnsi="arial" w:cs="arial"/>
          <w:i/>
          <w:color w:val="000000"/>
          <w:sz w:val="20"/>
          <w:lang w:val="en-US" w:eastAsia="en-US" w:bidi="ar-SA"/>
        </w:rPr>
        <w:t>PharmaCare Manual</w:t>
      </w:r>
      <w:r>
        <w:rPr>
          <w:rFonts w:ascii="arial" w:eastAsia="arial" w:hAnsi="arial" w:cs="arial"/>
          <w:color w:val="000000"/>
          <w:sz w:val="20"/>
          <w:lang w:val="en-US" w:eastAsia="en-US" w:bidi="ar-SA"/>
        </w:rPr>
        <w:t>. The Decision Briefing Document refers in more detail to what it describes as the compliance history of both Gastown Pharmacy and Priority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Termination Guidelines are clear that overpayments with respect to claims, and erroneous claims, will attract consideration of termination. I find those factors are clearly relevant to consideration of termination of pharmacy participation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However, I have several concerns with respect to the role such factors played here. First, the Decision Briefing Document, and the reviews by PARC which formed the basis for that Document, refer in some detail to the overpayments detected in 1999 - 2000, and the resulting civil litigation. While I believe that history may provide legitimate context for subsequent billing irregularities, I agree with the petitioners that the opportunity to terminate based solely on those overpayments in the civil context has been lost due to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Second, while the Decision Briefing Document and accompanying material sets out other subsequent claims irregularities, the petitioners dispute a number of these. I find that the material filed in this proceeding does not permit me to determine if the compliance history relied on by the respondents is accurate. For example, the Document states that Priority Drugs has acted in contravention of its Pharmacy Participation Agreement several times between May 2001 and August 2004, including conducting unauthorized daily dispensing. I can find nothing in the evidence before me that supports claims irregularities as late as August 2004, nor a conclusion that there was unauthorized daily dispensing. Instead, the only material related to daily dispensing practices indicates that reviews done in 2003 and 2004 were resolved in favour of Priority Drugs. The most recent infractions appear to be those dealing with the anti-retroviral drugs, which took place between April 2001 and July 2002, and were resolved by March 2003. Nor does the material support the claim in the Decision Briefing Document that the pharmacies' owners "have consistently exhibited an unwillingness to cooperate with PharmaCare Audit and PharmaCare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appreciate that the Minister and his delegates have greater institutional expertise and experience in dealing with the pharmacies and their owners, detecting claims infractions, and assessing their import. However, the absence of documentary evidence, and the age of the established claims infractions, make it difficult to reliably assess whether the erroneous claims related to anti-retroviral drugs, placed in the context of the "compliance histories" of both pharmacies, provided a tenable reason that would support termination. Accordingly, I am unable to find that the Deputy Minister's consideration of the past history of billing practices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have concluded, however, that the fact of Mr. Rands' conviction provided a sufficient basis for the decision to terminate the Pharmacy Participation Agreements of both Gastown Pharmacy and Priority Drugs. The petitioners' claim for </w:t>
      </w:r>
      <w:r>
        <w:rPr>
          <w:rFonts w:ascii="arial" w:eastAsia="arial" w:hAnsi="arial" w:cs="arial"/>
          <w:i/>
          <w:color w:val="000000"/>
          <w:sz w:val="20"/>
          <w:lang w:val="en-US" w:eastAsia="en-US" w:bidi="ar-SA"/>
        </w:rPr>
        <w:t>certiorari, mandamus</w:t>
      </w:r>
      <w:r>
        <w:rPr>
          <w:rFonts w:ascii="arial" w:eastAsia="arial" w:hAnsi="arial" w:cs="arial"/>
          <w:color w:val="000000"/>
          <w:sz w:val="20"/>
          <w:lang w:val="en-US" w:eastAsia="en-US" w:bidi="ar-SA"/>
        </w:rPr>
        <w:t>, or prohibition based on abuse of discretion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petitioners are entitled to relief by way of judicial review due to the respondents' breach of a duty of procedural fairness.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is granted, and the matter is remitted to the Deputy Minister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petitioners' claim for relief in the form of </w:t>
      </w:r>
      <w:r>
        <w:rPr>
          <w:rFonts w:ascii="arial" w:eastAsia="arial" w:hAnsi="arial" w:cs="arial"/>
          <w:i/>
          <w:color w:val="000000"/>
          <w:sz w:val="20"/>
          <w:lang w:val="en-US" w:eastAsia="en-US" w:bidi="ar-SA"/>
        </w:rPr>
        <w:t>certiorari, mandamus</w:t>
      </w:r>
      <w:r>
        <w:rPr>
          <w:rFonts w:ascii="arial" w:eastAsia="arial" w:hAnsi="arial" w:cs="arial"/>
          <w:color w:val="000000"/>
          <w:sz w:val="20"/>
          <w:lang w:val="en-US" w:eastAsia="en-US" w:bidi="ar-SA"/>
        </w:rPr>
        <w:t>, or prohibition based on abuse of discretion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petitioners claimed ancillary relief related to the letters sent by the respondent, Heather Davidson, to the clients of Gastown Pharmacy and Priority Drugs, as well as the decision of the respondents to withhold electronic fund transfers through PharmaNet. Both of those decisions flowed from the initial decision to terminate the Pharmacy Participation Agreements, and had been reversed at the time of this hearing. As a result, I have not considered relief with respect to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Continuing Care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continuing care</w:t>
      </w:r>
      <w:r>
        <w:rPr>
          <w:rFonts w:ascii="arial" w:eastAsia="arial" w:hAnsi="arial" w:cs="arial"/>
          <w:color w:val="000000"/>
          <w:sz w:val="20"/>
          <w:lang w:val="en-US" w:eastAsia="en-US" w:bidi="ar-SA"/>
        </w:rPr>
        <w:t>" means the provision of health care services prescribed under section 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facility</w:t>
      </w:r>
      <w:r>
        <w:rPr>
          <w:rFonts w:ascii="arial" w:eastAsia="arial" w:hAnsi="arial" w:cs="arial"/>
          <w:color w:val="000000"/>
          <w:sz w:val="20"/>
          <w:lang w:val="en-US" w:eastAsia="en-US" w:bidi="ar-SA"/>
        </w:rPr>
        <w:t>" means premises owned, leased or otherwise occupies by an operator and used to provide continuing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minister</w:t>
      </w:r>
      <w:r>
        <w:rPr>
          <w:rFonts w:ascii="arial" w:eastAsia="arial" w:hAnsi="arial" w:cs="arial"/>
          <w:color w:val="000000"/>
          <w:sz w:val="20"/>
          <w:lang w:val="en-US" w:eastAsia="en-US" w:bidi="ar-SA"/>
        </w:rPr>
        <w:t>" includes a person to whom the minister has delegated some or all of the minister's powers under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operator</w:t>
      </w:r>
      <w:r>
        <w:rPr>
          <w:rFonts w:ascii="arial" w:eastAsia="arial" w:hAnsi="arial" w:cs="arial"/>
          <w:color w:val="000000"/>
          <w:sz w:val="20"/>
          <w:lang w:val="en-US" w:eastAsia="en-US" w:bidi="ar-SA"/>
        </w:rPr>
        <w:t>" means a person who enters into an agreement under section 4 with the minister for the provision of continuing care.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This Act does not apply to health care services unless they are prescribed under section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Continuing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Lieutenant Governor in Council may prescribe to be continuing care one or more health care services to persons with a frailty or with an acute or chronic illness or disability that do not require admission to a hospital as defined in section 1 of the </w:t>
      </w:r>
      <w:r>
        <w:rPr>
          <w:rFonts w:ascii="arial" w:eastAsia="arial" w:hAnsi="arial" w:cs="arial"/>
          <w:i/>
          <w:color w:val="000000"/>
          <w:sz w:val="20"/>
          <w:lang w:val="en-US" w:eastAsia="en-US" w:bidi="ar-SA"/>
        </w:rPr>
        <w:t>Hospital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minister may enter into a written agreement under this Act with an operator under which the government will make payments on behalf of clients, determined by the minister, who receive continuing care from the operator.</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agreement being entered into under subsection (1), the operator must comply with this Act and any applicable standards, guidelines or directives issued by the minister.</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under subsection (1) may specify terms and conditions that the operator must comply with in addition to standards, guidelines or directives issued under subsection (4).</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issue standards, guidelines or directives and may issue different ones for different classes of operators or for different classes of health care services, and the minister may exempt an operator from complying with a provision of any of them.</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the opinion of the minister, an operator fails or refuses to comply with a provision of an applicable standard, guideline or directive, a term or condition of the agreement entered into under subsection (1) or a provision of this Act, the minister may, in writing, notify the operator that the agreement is terminated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provisions in the agreement for notification of termination by the minister, or</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date established by the minister, if</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does not provide for notification of termination by the minister in the circumstances, or</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determines that termination earlier than permitted by the agreement is necessary to protect the health or safety of a client.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minister may determine the persons who will receive continuing care for which a payment will be made under this Act.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issue guidelines respecting eligibility for payment under subsection (1), but the minister's determination is final and binding.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Fees and charges to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Lieutenant Governor in Council may prescribe the rate that an operator may charge a client receiving continuing care for which the government is making a payment and may prescribe different rates for different classes of client.</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operator must not charge a client an amount exceeding the rate prescribed under subsection (1) except in accordance with directives issued by the minister or as permitted in an agreement entered into under section 4(1).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Inspectors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The minister may appoint inspectors for the purposes of this Act.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an agreement entered into under section 4(1) and on the request of an inspector, an operator must permit the inspector</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inspect all records related to the provision of continuing care of current or former clients of the operator,</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inspect all financial records related to the provision of continuing care,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applicable, to inspect a facility and have access to any client in the facility.</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obstruct an inspector in the performance of the inspector's duties.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Administrator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By notice of appointment served on the operator, the minister may appoint an administrator to deliver continuing care covered by an agreement under section 4 in place of the operator if the minister has reasonable grounds to believe that the health or safety of persons receiving continuing care from the operator is at risk because of</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omission of the operator or of an employee or agent of the operator, or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one or more facilities owned, leased or otherwise occupied by the operator.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administrator appointed under subsection (1) may exercise for the period specified in the notice all powers necessary to deliver the continuing care described in the agreement with the operator under section 4, including</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 of any facility or the provision of any service covered by the agreement,</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and remuneration of staff,</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clients to pay fees or charges directly to the administrator,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notice to the Minister of Finance of the appointment, requiring the government to make all payments directly to the administrator for services rendered to the clients.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Promptly, at the end of the period of the administrator's appointment, the administrator must render an accounting of the operation to the minister, and any excess of revenue over expenditure must, after deduction of the administrator's fees, be paid to the operator.</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must determine the fees to be paid to the administrator, but, if there is insufficient money to pay those fees under subsection (3), the minister must pay the difference.</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to a private home occupied by an operator as the operator's personal residence in which continuing care is provided to not more than 2 clients.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 of appointment of administrator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Not more than 7 days after receiving a notice of appointment of an administrator, an operator may appeal the appointment by sending to the minister a written notice that the operator appeals it.</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must be received by the minister before the expiry of the 7 day period.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more than 14 days after receiving notice of the appeal, the minister must appoint an appeal board to hear the appeal.</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board consists of not more than 3 persons one of whom must be appointed chair by the minister.</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directives issued by Treasury Board, the minister must set the remuneration to be received by the chair and the members for each day they are engaged in an appeal.</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Lieutenant Governor in Council may establish the procedure to be followed on an appeal.</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 to the Supreme Court made within 21 days after a decision of an appeal board is received by the appellant or the minister, the appellant or the minister may appeal the decision of the appeal board on a question of law or jurisdiction.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appeal from a decision of the Supreme Court lies to the Court of Appeal with leave of a justice of the Court of Appeal.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Officials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minister, an inspector and their agents, officers, employees, representatives and persons acting on their behalf are not liable in their personal or official capacities for loss or damage suffered by a person because of anything done or omitted to be done in good faith in the exercise or purported exercise of powers given by this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person who, in the course of carrying out the person's duties under this Act, obtains information, files or records that are submitted in accordance with a request or obligation under this Act, must not disclose the information, files or records to any person other than for the purposes of carrying out the duties under this Act or if required by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Section 5 of the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does not apply to this Act.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contravenes section 6(2), 7(3) or 11 commits an offence.</w: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Continuing Care Programs Regulation, </w:t>
      </w:r>
      <w:hyperlink r:id="rId281" w:history="1">
        <w:r>
          <w:rPr>
            <w:rFonts w:ascii="arial" w:eastAsia="arial" w:hAnsi="arial" w:cs="arial"/>
            <w:b/>
            <w:i/>
            <w:color w:val="0077CC"/>
            <w:sz w:val="20"/>
            <w:u w:val="single"/>
            <w:shd w:val="clear" w:color="auto" w:fill="FFFFFF"/>
            <w:lang w:val="en-US" w:eastAsia="en-US" w:bidi="ar-SA"/>
          </w:rPr>
          <w:t>BC Reg. 146/95</w:t>
        </w:r>
      </w:hyperlink>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Programs prescribed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programs named in the Schedule to this regulation are prescribed as continuing care programs under section 3 of the </w:t>
      </w:r>
      <w:r>
        <w:rPr>
          <w:rFonts w:ascii="arial" w:eastAsia="arial" w:hAnsi="arial" w:cs="arial"/>
          <w:i/>
          <w:color w:val="000000"/>
          <w:sz w:val="20"/>
          <w:lang w:val="en-US" w:eastAsia="en-US" w:bidi="ar-SA"/>
        </w:rPr>
        <w:t>Continuing Care Act</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following programs administered by the Continuing Care Program of the Ministry of Health:</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Home Support Services;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Adult Day Services;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Meals Programs (including Meals on Wheels and Congregate Meal Programs);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Care Respite Services;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Care Case Management;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Care Residential Facilities (Group Homes for Independent Living, Family Care Homes, Personal, Intermediate and Multilevel Care Facilities);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 Stay Assessment and Treatment Centres;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Home Oxygen Program;</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Assisted Living Services.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Pharmacare programs, including but not limited to the following:</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[B.C. Reg. 61/2002.]</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[B.C. Reg. 190/2003.]</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B - Providing full reimbursement for qualified residents of licensed long term care facilities and private hospitals;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C - Providing benefits for qualified residents who are eligible for Ministry of Social Service or Refugee Status health care benefits;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D - Providing coverage for provision of digestive enzymes for qualified residents with cystic fibrosis;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[B.C. Reg. 190/2003.]</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F - Providing coverage for persons qualified under the</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Home Program for children with severe handicaps,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 Family Program providing community based family-style care for children with multiple disabilities and who reside in residential settings.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Fair Pharmacare program - Providing assistance, based on family net income, to qualified residents who are not receiving benefits under any other Pharmacare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Dureault v. Marshall Business Center Inc., [2009] B.C.J. No. 1681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14,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24,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Dockets: 82396 and 83481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Kelowna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1681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1145</w:t>
      </w:r>
    </w:p>
    <w:p>
      <w:pPr>
        <w:spacing w:before="120" w:line="260" w:lineRule="atLeast"/>
        <w:rPr>
          <w:lang w:val="en-US" w:eastAsia="en-US" w:bidi="ar-SA"/>
        </w:rPr>
      </w:pPr>
      <w:r>
        <w:rPr>
          <w:rFonts w:ascii="arial" w:eastAsia="arial" w:hAnsi="arial" w:cs="arial"/>
          <w:color w:val="000000"/>
          <w:sz w:val="20"/>
          <w:lang w:val="en-US" w:eastAsia="en-US" w:bidi="ar-SA"/>
        </w:rPr>
        <w:t>Between Rene Dureault and Irene Dureault, Petitioners, and Marshall Business Center Inc., Hayter Construction Ltd., Peter's Bros. Construction Ltd., 647354 B.C. Ltd., Kettle Valley Construction Ltd., and Michael Matviesen, also known as Michael Matvieswhen, Respondents And between Marshall Business Center Inc., Michael Matvieshen, Shari Matvieshen, 0805497 B.C. Ltd., 0828119 B.C. Ltd., M 119 Holdings Ltd. and Epod Ventures Inc., Plaintiffs, and Rene Dureault and Irene Dureault,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5"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5" w:name="Keywords_9"/>
      <w:bookmarkEnd w:id="65"/>
      <w:r>
        <w:rPr>
          <w:rFonts w:ascii="arial" w:eastAsia="arial" w:hAnsi="arial" w:cs="arial"/>
          <w:b/>
          <w:color w:val="000000"/>
          <w:sz w:val="20"/>
          <w:lang w:val="en-US" w:eastAsia="en-US" w:bidi="ar-SA"/>
        </w:rPr>
        <w:t>Civil litigation — Civil procedure — Actions — Causes of action — Joinder and consolidation — Judgments and orders — Summary judgment — Availability — Application by petitioners Rene and Irene Dureault for summary judgment against Matviesen in the sum of $4,631,616 plus interest with respect to the "foreclosure proceeding" dismissed — There were issues to be tried — Application by plaintiffs in the "main proceeding" to have the foreclosure proceedings stayed and for an order consolidating the two actions, dismissed — The foreclosure proceeding ought not to be consolidated with the main action, as the procedures for a foreclosure proceeding differed from an action commenced by a writ, and because there had already been a final order in the foreclosure proceeding.</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Contracts — Proceedings in contract — Practice and procedure — Application by petitioners Rene and Irene Dureault for summary judgment against Matviesen in the sum of $4,631,616 plus interest with respect to the "foreclosure proceeding" dismissed — There were issues to be tried — Application by plaintiffs in the "main proceeding" to have the foreclosure proceedings stayed and for an order consolidating the two actions, dismissed — The foreclosure proceeding ought not to be consolidated with the main action, as the procedures for a foreclosure proceeding differed from an action commenced by a writ, and because there had already been a final order in the foreclosure proceeding.</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Real property law — Proceedings — Practice and procedure — Application by petitioners Rene and Irene Dureault for summary judgment against Matviesen in the sum of $4,631,616 plus interest with respect to the "foreclosure proceeding" dismissed — There were issues to be tried — Application by plaintiffs in the "main proceeding" to have the foreclosure proceedings stayed and for an order consolidating the two actions, dismissed — The foreclosure proceeding ought not to be consolidated with the main action, as the procedures for a foreclosure proceeding differed from an action commenced by a writ, and because there had already been a final order in the foreclosure proceeding.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6" w:name="Case Summary_9"/>
            <w:bookmarkEnd w:id="6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Multiple applications in two proceedings. In the first application, the petitioners, Rene and Irene Dureault, sought summary judgment against Matviesen in the sum of $4,631,616 plus interest. They argued that in the final judgment in the "foreclosure proceeding," which resulted in an order nisi, that there was a final order as to the validity of the mortgage as to the amount outstanding and the time for appeal had expired. In the second application, the plaintiffs from the "main proceeding" (where they claimed damages and a declaration that the Dureaults had breached a share purchase agreement) sought an order staying the mortgage/foreclosure proceeding pending disposition or resolution of the main proceeding. The plaintiffs in the main proceeding also applied to vary the Master's prior orders, for an order vacating the order of sale and removing Rene Dureault as receiver/manager and appointing a licensed receiver/manager giving it conduct of sale. They sought an order that upon sale of any of the mortgaged lots that any proceeds payable to the petitioners be paid into court. </w:t>
            </w:r>
            <w:r>
              <w:rPr>
                <w:lang w:val="en-US" w:eastAsia="en-US" w:bidi="ar-SA"/>
              </w:rPr>
              <w:cr/>
            </w:r>
          </w:p>
          <w:p>
            <w:pPr>
              <w:spacing w:before="120" w:line="260" w:lineRule="atLeast"/>
              <w:ind w:left="240"/>
              <w:jc w:val="both"/>
              <w:rPr>
                <w:lang w:val="en-US" w:eastAsia="en-US" w:bidi="ar-SA"/>
              </w:rPr>
            </w:pPr>
            <w:bookmarkStart w:id="67" w:name="Holdings of Court_6"/>
            <w:bookmarkEnd w:id="67"/>
            <w:r>
              <w:rPr>
                <w:rFonts w:ascii="arial" w:eastAsia="arial" w:hAnsi="arial" w:cs="arial"/>
                <w:color w:val="000000"/>
                <w:sz w:val="20"/>
                <w:lang w:val="en-US" w:eastAsia="en-US" w:bidi="ar-SA"/>
              </w:rPr>
              <w:t>HELD: Application by Dureaults for summary judgment against Matviesen dismissed; application to have the foreclosure proceeding stayed and to have the proceedings consolidated,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were issues to be tried with respect to the application for summary judgment against Matviesen. The application was being driven by his having been added as a party to a foreclosure proceeding. However, as the claim against him was not under a mortgage, it was to be tried in accordance with the rules applicable to a claim under a guarantee. If there was to be a summary trial, it ought to be under Rule 18A. As for the application by the plaintiffs in the main proceeding to have the foreclosure proceeding stayed and to have the foreclosure proceeding consolidated with the main proceeding, it was dismissed. There was no reason to grant the stay. An order nisi had been pronounced in the foreclosure proceeding and the redemption period had expired. No appeal was taken from that order. The foreclosure proceeding ought not to be consolidated with the main action, as the procedures for a foreclosure proceeding differed from an action commenced by a writ, and because there had already been a final order in the foreclosure proceeding. The claim against Matviesen in the foreclosure proceeding would be tried at the same time as the claims in the main proceeding. There was no reason to vary the Master's order giving the Dureaults conduct of sale. It was in their best interests to sell the mortgaged lots for as high a price as possible and as soon as possible. Sales were required to be approved by the court. KPMG LLP was to be appointed receiver/manager in the place of Rene Dureault if Matviesen filed his written agreement to be personally responsible for its remuneration. Any proceeds from the sales of any of the mortgaged lots were to be paid into court. </w:t>
            </w:r>
            <w:r>
              <w:rPr>
                <w:lang w:val="en-US" w:eastAsia="en-US" w:bidi="ar-SA"/>
              </w:rPr>
              <w:cr/>
            </w:r>
          </w:p>
          <w:p>
            <w:pPr>
              <w:rPr>
                <w:lang w:val="en-US" w:eastAsia="en-US" w:bidi="ar-SA"/>
              </w:rPr>
            </w:pPr>
          </w:p>
        </w:tc>
      </w:tr>
    </w:tbl>
    <w:p>
      <w:pPr>
        <w:jc w:val="both"/>
        <w:rPr>
          <w:lang w:val="en-US" w:eastAsia="en-US" w:bidi="ar-SA"/>
        </w:rPr>
      </w:pPr>
      <w:bookmarkStart w:id="68" w:name="Legislation Cited_8"/>
      <w:bookmarkEnd w:id="6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6" style="position:absolute;z-index:2517196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5(8), Rule 50(3)</w:t>
      </w:r>
      <w:r>
        <w:rPr>
          <w:lang w:val="en-US" w:eastAsia="en-US" w:bidi="ar-SA"/>
        </w:rPr>
        <w:cr/>
      </w:r>
    </w:p>
    <w:p>
      <w:pPr>
        <w:keepNext/>
        <w:spacing w:before="240" w:line="340" w:lineRule="atLeast"/>
        <w:rPr>
          <w:lang w:val="en-US" w:eastAsia="en-US" w:bidi="ar-SA"/>
        </w:rPr>
      </w:pPr>
      <w:bookmarkStart w:id="69" w:name="Counsel_9"/>
      <w:bookmarkEnd w:id="6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7" style="position:absolute;z-index:2517708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Petitioners/Defendants: K.J. Ihas.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Plaintiffs/Respondents: T.S. Kent and L.J. Baptie.</w:t>
      </w:r>
      <w:r>
        <w:rPr>
          <w:lang w:val="en-US" w:eastAsia="en-US" w:bidi="ar-SA"/>
        </w:rPr>
        <w:cr/>
      </w:r>
    </w:p>
    <w:p>
      <w:pPr>
        <w:spacing w:after="240"/>
        <w:rPr>
          <w:lang w:val="en-US" w:eastAsia="en-US" w:bidi="ar-SA"/>
        </w:rPr>
      </w:pPr>
      <w:bookmarkStart w:id="70" w:name="Judgment_9"/>
      <w:bookmarkEnd w:id="70"/>
      <w:r>
        <w:pict>
          <v:line id="_x0000_s1078" style="position:absolute;z-index:251822080"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correction was released by the Court January 14, 2010; the changes have been made to the text and the correction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1" w:name="S.J. SHABBITS J."/>
            <w:bookmarkEnd w:id="71"/>
            <w:r>
              <w:rPr>
                <w:rFonts w:ascii="arial" w:eastAsia="arial" w:hAnsi="arial" w:cs="arial"/>
                <w:b/>
                <w:color w:val="000000"/>
                <w:sz w:val="30"/>
                <w:lang w:val="en-US" w:eastAsia="en-US" w:bidi="ar-SA"/>
              </w:rPr>
              <w:t>S.J. SHABBITS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Proceeding No. 82396 is a foreclosure proceeding. It relates to a mortgage dated February 15, 2008 under which Marshall Business Center Inc. granted Irene Dureault and Rene Dureault a mortgage in the principle sum of $4,000,000 over a number of strata lots in Strata Plan KAS 3323.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15, 2009, a master of the court made an order declaring that Marshall Business Center Inc. had made default under the mortgage and that the mortgage charged 12 strata lots within Strata Plan KAS 3323. The amount required to redeem the mortgaged lands was fixed at $4,631,615.61 as of April 15, 2009. The date for redemption was one day, namely April 16, 2009. The master ordered that the petitioners have judgment against Marshall Business Center Inc. in the redemption amount. She granted the petitioners exclusive conduct of sale, sales being subject to the approval of the court. She appointed Rene Dureault receiver/manager without security of the rents and profits of the lands and premise.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same day, April 15, 2009, the master added Michael Matviesen, also known as Michael Matvieswhen, as a respondent in the foreclosure proceedings. She ordered that Michael Matviesen be bound by the proceedings had and taken in the foreclosure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Proceeding No. 83481 (the "main proceeding") includes a claim for damages. In this proceeding the plaintiffs seek a declaration that the Dureaults breached a share purchase agreement. They claim damages for the breach and a declaration that they are entitled to set the damages off against what is due of them under the share purchase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Marshall Business Center Inc. and Michael Matviesen are respondents in the mortgage proceeding and plaintiffs in the main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circumstances giving rise to both proceedings were explained on July 10, 2009 by Mr. Justice Rogers in reasons for judgment in the main proceeding indexed as </w:t>
      </w:r>
      <w:r>
        <w:rPr>
          <w:rFonts w:ascii="arial" w:eastAsia="arial" w:hAnsi="arial" w:cs="arial"/>
          <w:i/>
          <w:color w:val="000000"/>
          <w:sz w:val="20"/>
          <w:lang w:val="en-US" w:eastAsia="en-US" w:bidi="ar-SA"/>
        </w:rPr>
        <w:t>Marshall Business Center Inc. v. Dureault</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BCSC 954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Justice Rogers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Facts</w:t>
      </w:r>
    </w:p>
    <w:p>
      <w:pPr>
        <w:spacing w:before="120" w:line="260" w:lineRule="atLeast"/>
        <w:ind w:left="720"/>
        <w:rPr>
          <w:lang w:val="en-US" w:eastAsia="en-US" w:bidi="ar-SA"/>
        </w:rPr>
      </w:pPr>
      <w:r>
        <w:rPr>
          <w:rFonts w:ascii="arial" w:eastAsia="arial" w:hAnsi="arial" w:cs="arial"/>
          <w:color w:val="000000"/>
          <w:sz w:val="20"/>
          <w:lang w:val="en-US" w:eastAsia="en-US" w:bidi="ar-SA"/>
        </w:rPr>
        <w:t>[3] At all material times before March 2007, the defendant, Rene Dureault, was the shareholder and guiding mind of a company called Mill Creek Developments Ltd. Mill Creek Developments owned all of the shares in a subsidiary company called Marshall Business Center Inc. Marshall Business Center owned a large tract of land located in Kelowna, British Columbia. Marshall's plan was to subdivide the tract into a number of bare land strata lots. It intended to sell those lots to commercial interests who would be expected to construct buildings on the lots and to operate their industrial or large-footprint wholesale and retail outlets there.</w:t>
      </w:r>
    </w:p>
    <w:p>
      <w:pPr>
        <w:spacing w:before="120" w:line="260" w:lineRule="atLeast"/>
        <w:ind w:left="720"/>
        <w:rPr>
          <w:lang w:val="en-US" w:eastAsia="en-US" w:bidi="ar-SA"/>
        </w:rPr>
      </w:pPr>
      <w:r>
        <w:rPr>
          <w:rFonts w:ascii="arial" w:eastAsia="arial" w:hAnsi="arial" w:cs="arial"/>
          <w:color w:val="000000"/>
          <w:sz w:val="20"/>
          <w:lang w:val="en-US" w:eastAsia="en-US" w:bidi="ar-SA"/>
        </w:rPr>
        <w:t>[4] At all material times before March 2007, Mr. Matvieshen was a shareholder and acted as the guiding mind of a company called Epod International Inc. Epod International wished to purchase all of the shares of Mill Creek Developments from Mr. Dureault. Mr. Dureault agreed to sell those shares to Epod International. Mr. Dureault and Epod International made an agreement to that effect. That agreement was dated March 27, 2007. The purchase price for the Mill Creek Developments shares was set at $12 million plus 24 million Epod International shares. The Epod International shares were to be delivered to Mr. Dureault by the end of April 2007, and the cash portion of the purchase price was to be paid in various instalments, the last of which was $6 million to be paid on January 4, 2008.</w:t>
      </w:r>
    </w:p>
    <w:p>
      <w:pPr>
        <w:spacing w:before="120" w:line="260" w:lineRule="atLeast"/>
        <w:ind w:left="720"/>
        <w:rPr>
          <w:lang w:val="en-US" w:eastAsia="en-US" w:bidi="ar-SA"/>
        </w:rPr>
      </w:pPr>
      <w:r>
        <w:rPr>
          <w:rFonts w:ascii="arial" w:eastAsia="arial" w:hAnsi="arial" w:cs="arial"/>
          <w:color w:val="000000"/>
          <w:sz w:val="20"/>
          <w:lang w:val="en-US" w:eastAsia="en-US" w:bidi="ar-SA"/>
        </w:rPr>
        <w:t>[5] Although Mr. Matvieshen was not actually a party to the share purchase and sale agreement, that agreement nevertheless purported to impose a personal obligation upon him: he was to deliver to Mr. Dureault voting control over approximately 30 million Epod International shares. The purpose for delivery of voting control over that number of shares was, according to the share purchase and sale agreement, "so that Rene Dureault will have control over the operations of Epod in regards to any disposition of any assets of the Company". For the purposes of the agreement, the "Company" was defined to be Mill Creek Developments.</w:t>
      </w:r>
    </w:p>
    <w:p>
      <w:pPr>
        <w:spacing w:before="120" w:line="260" w:lineRule="atLeast"/>
        <w:ind w:left="720"/>
        <w:rPr>
          <w:lang w:val="en-US" w:eastAsia="en-US" w:bidi="ar-SA"/>
        </w:rPr>
      </w:pPr>
      <w:r>
        <w:rPr>
          <w:rFonts w:ascii="arial" w:eastAsia="arial" w:hAnsi="arial" w:cs="arial"/>
          <w:color w:val="000000"/>
          <w:sz w:val="20"/>
          <w:lang w:val="en-US" w:eastAsia="en-US" w:bidi="ar-SA"/>
        </w:rPr>
        <w:t>[6] The evidence in the present application did not make clear when and to what degree the parties performed their obligations under the share purchase and sale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[7] The evidence is clear, however, that on August 24, 2007, Mr. Dureault and Epod International agreed to amend the share sale agreement. Various elements of the agreement were changed. Irene Dureault was added as a party to the contract. She was described, along with her husband, Mr. Dureault, as the vendor of the Mill Creek Developments shares. The payment schedule was changed, as was the closing date. Several Mill Creek Developments assets were exempted from the sale. The provision relating to Mr. Matvieshen was varied. According to the amended agreement, the purpose for his delivery of vote in control over approximately 30 million Epod International shares was changed thus: "so that Rene Dureault will have control over the operations of Epod in regards to any disposition of any of the assets of Mill Creek Developments Ltd., until the Vendor is paid in full under the terms of this agreement". The original share purchase and sale agreement did not provide for any security for the unpaid portion of the purchase price. The amended agreement remedied that shortfall. According to the amended share purchase and sale agreement, the unpaid portion of the purchase price for the Mill Creek Developments shares would be secured by a mortgage of all real property directly or indirectly owned or controlled by the "Company". The mortgage was to be payable in full on July 4, 2007. Presumably, the reference to 2007 was meant to be 2008, and presumably the "Company" was meant to refer to Mill Creek Developments.</w:t>
      </w:r>
    </w:p>
    <w:p>
      <w:pPr>
        <w:spacing w:before="120" w:line="260" w:lineRule="atLeast"/>
        <w:ind w:left="720"/>
        <w:rPr>
          <w:lang w:val="en-US" w:eastAsia="en-US" w:bidi="ar-SA"/>
        </w:rPr>
      </w:pPr>
      <w:r>
        <w:rPr>
          <w:rFonts w:ascii="arial" w:eastAsia="arial" w:hAnsi="arial" w:cs="arial"/>
          <w:color w:val="000000"/>
          <w:sz w:val="20"/>
          <w:lang w:val="en-US" w:eastAsia="en-US" w:bidi="ar-SA"/>
        </w:rPr>
        <w:t>[8] Epod International subsequently assigned its position in the share purchase and sale agreement to a company called Epod Ventures Inc.</w:t>
      </w:r>
    </w:p>
    <w:p>
      <w:pPr>
        <w:spacing w:before="120" w:line="260" w:lineRule="atLeast"/>
        <w:ind w:left="720"/>
        <w:rPr>
          <w:lang w:val="en-US" w:eastAsia="en-US" w:bidi="ar-SA"/>
        </w:rPr>
      </w:pPr>
      <w:r>
        <w:rPr>
          <w:rFonts w:ascii="arial" w:eastAsia="arial" w:hAnsi="arial" w:cs="arial"/>
          <w:color w:val="000000"/>
          <w:sz w:val="20"/>
          <w:lang w:val="en-US" w:eastAsia="en-US" w:bidi="ar-SA"/>
        </w:rPr>
        <w:t>[9] On February 15, 2008, by virtue of the terms of a contract entitled Loan Agreement, Mr. and Mrs. Dureault agreed to Epod International's assignment to Epod Ventures. The Loan Agreement also stipulated that pursuant to the share purchase agreement, $4 million remained to be paid to the Dureaults by Epod Ventures. The Loan Agreement named Marshall Business Center Inc. and Mr. Matvieshen as guarantors of the $4 million debt. The Loan Agreement required the debt to be paid in full on July 4, 2008. The agreement also stipulated that Epod Ventures would agree to secure the debt with a mortgage in the Dureaults' favour. Although the copy of the Loan Agreement entered into evidence on this application did not set out a schedule of the property over which that mortgage was to be granted, it seems common ground among the parties that the mortgage to be given by Marshall Business Center was over those portions of the industrial bare land strata development that it still owned. The Loan Agreement was silent as to corporate control of Epod Ventures. That is to say: the Loan Agreement did not contain a provision requiring Mr. Matvieshen to deliver voting control over Epod Ventures shares to the Dureaults. This distinguishes the Loan Agreement from the original and amended share purchase and sale agreements.</w:t>
      </w:r>
    </w:p>
    <w:p>
      <w:pPr>
        <w:spacing w:before="120" w:line="260" w:lineRule="atLeast"/>
        <w:ind w:left="720"/>
        <w:rPr>
          <w:lang w:val="en-US" w:eastAsia="en-US" w:bidi="ar-SA"/>
        </w:rPr>
      </w:pPr>
      <w:r>
        <w:rPr>
          <w:rFonts w:ascii="arial" w:eastAsia="arial" w:hAnsi="arial" w:cs="arial"/>
          <w:color w:val="000000"/>
          <w:sz w:val="20"/>
          <w:lang w:val="en-US" w:eastAsia="en-US" w:bidi="ar-SA"/>
        </w:rPr>
        <w:t>[10] Epod Ventures subsequently became delinquent in its debt to the Dureaults. The date for payment of the debt passed by. The Dureaults commenced foreclosure proceedings against the Marshall Business Center properties. On February 18, 2009, they received an order nisi in that foreclosure proceeding. As an adjunct to the order nisi, Mr. Dureault was appointed receiver/manager. The order empowered Mr. Dureault to take possession of and sell the foreclosed properties and to have access to all of the accounting and corporate records of Marshall Business Center.</w:t>
      </w:r>
    </w:p>
    <w:p>
      <w:pPr>
        <w:spacing w:before="120" w:line="260" w:lineRule="atLeast"/>
        <w:ind w:left="720"/>
        <w:rPr>
          <w:lang w:val="en-US" w:eastAsia="en-US" w:bidi="ar-SA"/>
        </w:rPr>
      </w:pPr>
      <w:r>
        <w:rPr>
          <w:rFonts w:ascii="arial" w:eastAsia="arial" w:hAnsi="arial" w:cs="arial"/>
          <w:color w:val="000000"/>
          <w:sz w:val="20"/>
          <w:lang w:val="en-US" w:eastAsia="en-US" w:bidi="ar-SA"/>
        </w:rPr>
        <w:t>[11] In the course of acting as receiver/manager, Mr. Dureault reviewed various transactions relating to Marshall Business Center's sales of strata lots. Mr. Dureault has focused on transactions having to do with the sales of Strata Lots 1, 2 and 4. He has also focused on the Matvieshens' use of Marshall Business Center's cash and credit. Mr. Dureault says that he has uncovered evidence that, in their capacities as the guiding minds and principal shareholders of Mill Creek Developments and through it Marshall Business Center, as well as through their control or shareholding in numerous other corporations, Mr. and Mrs. Matvieshen have diverted money to their personal or their corporations' benefit. Mr. Dureault says that this money would, but for its appropriation by the Matvieshens, have been available to reduce the debt owed to the Dureaults by Epod Ventures, as well as the debt owed by the guarantors, Mr. Matvieshen and Marshall Business Center.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[12] The Dureaults allege that the Matvieshens have fraudulently caused Marshall Business Center and Epod Ventures to convey property, namely cash, goods, services, or accounts receivable, to themselves or to the benefit of corporations which they control or in which they have an interest. The Dureaults allege that the Matvieshens, or corporations that they control, conveyed that property with the intent to defeat, delay, hinder, prejudice or defraud the creditors of Marshall Business Center. The Dureaults say that those creditors include the Dureaults themselves. The Dureaults invoke the Fraudulent Conveyance Act,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xml:space="preserve">, and the Fraudulent Preferences Act, </w:t>
      </w:r>
      <w:r>
        <w:rPr>
          <w:rFonts w:ascii="arial" w:eastAsia="arial" w:hAnsi="arial" w:cs="arial"/>
          <w:i/>
          <w:color w:val="000000"/>
          <w:sz w:val="20"/>
          <w:lang w:val="en-US" w:eastAsia="en-US" w:bidi="ar-SA"/>
        </w:rPr>
        <w:t>R.S.B.C. 1996, c. 164</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[13] Further, the Dureaults assert that Mr. Matvieshen owed them a fiduciary duty to operate Epod Ventures and Marshall Business Center so as to ensure that Epod Ventures' debt to the Dureaults would be paid. They allege that Mr. Matvieshen was, effectively, a trustee for their benefit. They say that Mr. Matvieshen breached his fiduciary duties by causing Epod Ventures and Marshall Business Center to enter into transactions that were not in Marshall Business Center's best economic interest.</w:t>
      </w:r>
    </w:p>
    <w:p>
      <w:pPr>
        <w:spacing w:before="120" w:line="260" w:lineRule="atLeast"/>
        <w:ind w:left="720"/>
        <w:rPr>
          <w:lang w:val="en-US" w:eastAsia="en-US" w:bidi="ar-SA"/>
        </w:rPr>
      </w:pPr>
      <w:r>
        <w:rPr>
          <w:rFonts w:ascii="arial" w:eastAsia="arial" w:hAnsi="arial" w:cs="arial"/>
          <w:color w:val="000000"/>
          <w:sz w:val="20"/>
          <w:lang w:val="en-US" w:eastAsia="en-US" w:bidi="ar-SA"/>
        </w:rPr>
        <w:t>[14] The Dureaults say that they are entitled to the equitable remedy of tracing with respect to those funds that they say were obtained by the Matvieshens and the Matvieshen corporations by fraud or breach of trust. They have filed caveats against the titles to the properties they say that those funds can be traced to and with respect to which they are entitled to the equitable remedies of tracing and constructive trust. The Dureaults have not yet commenced action against the Matvieshens and their related corporations.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a number of applications that are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Rene Dureault and Irene Dureault apply in the foreclosure proceeding for judgment against Michael Matviesen in the sum of $4,631,615.61 together with interest after April 15,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in the main proceeding apply for an order staying the mortgage proceeding pending disposition or resolution of the main proceeding. They apply to vary the orders of the master. They apply for an order vacating the order of sale and removing Rene Dureault as receiver/manager and appointing a licensed receiver/manager giving it conduct of sale. They seek an order that upon sale of any of the mortgaged lots that any proceeds of sale payable to the petitioners be paid into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mortgage underlying the foreclosure proceeding is a second mortgage. All of the parties appearing on this application agree that sale proceeds of lots are payable to the first mortgagee until its interests are satisfied. The application by the respondents to have sale proceeds paid into court relates to the proceeds of sales, if any, after payment of the first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seeking summary final judgment against Michael Matviesen, the petitioners submit that final judgment, being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has been granted in the foreclosure proceeding, and that there is a final order as to the validity of the mortgage and as to the amount outstanding. No appeal was filed. The time for appeal has expired.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petitioners submit that since the guarantee of Michael Matviesen under the February 15, 2008 loan agreement was for the same obligation as was secured by the mortgage there can be no issue with respect to the amount of Mr. Matviesen's obligation to Epod Ventures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loan agreement recites that under the share purchase agreement Epod Ventures Inc. was indebted to Rene Dureault and Irene Dureault in the amount of $4,000,000 and that Epod Ventures Inc. agreed to establish a loan to Rene Dureault and Irene Dureault in the amount of $4,000,000 for the unpaid portion of the purchase price due them pursuant to the share purchase agreement. Under the loan agreement of February 15, 2008, Marshall Business Center Inc. and Michael Matviesen each agreed to execute a guarantee "with respect to the aforesaid loan."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Marshall Business Center Inc. gave a mortgage to Rene Dureault and Irene Dureault which is the subject of the foreclosure proceeding. The mortgage was collateral to its guarantee. Michael Matviesen executed a separate guarantee.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Michael Matviesen was added as a respondent in the mortgage proceedings on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of Rene Dureault and Irene Dureault.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Michael Matviesen was not a guarantor of the mortgage. He is not a party to the mortgage. He was not a party to the foreclosure proceeding at the time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made. Michael Matviesen is not bound by the judgment against Marshall Business Center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main proceeding was commenced on June 10, 2009. The plaintiffs in this proceeding include Marshall Business Center Inc. and Michael Matviesen. The plaintiffs claim that the Dureaults acted in breach of the share purchase/sale agreement by wrongfully removing assets from Mill Creek Developments in breach of the agreement and by wrongfully making material financial misrepresentations on which Epod Ventures Inc. relied. The plaintiffs claim that the amount owing to the Dureaults under the share purchase/sale agreement is therefore not $4,000,000 but less than $2,000,000.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Matviesen explains these claims in his affidavit No. 1. At paragraph 26 he alleges that Rene Dureault misrepresented a construction budget relating to the subdivision of the Marshall Business Center Inc. lands at the time of the share purchase agreement and that there was in effect an undisclosed budget shortfall of approximately $1,400,000. At paragraph 27, he alleges that Rene Dureault wrongfully caused sale proceeds of approximately $1,000,000 to be removed from Mill Creek Developments.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Rule 50(3) a petitioner in a proceeding for foreclosure may join in the proceeding any claim arising out of the mortgage or out of any bond or collateral security or obligation given for the mortgage debt and may join as a party any person who is liable to pay the mortgage debt.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Dureaults' claim against Michael Matviesen does not arise out of the mortgage. Michael Matviesen is not liable to pay the mortgage debt. The Dureaults had Michael Matviesen added as a party to the foreclosure proceeding because they submit the claim arose out of security collateral to the mortgage debt. Michael Matviesen's guarantee is collateral to the mortgage in the sense that both were given at the same time as additional security for the debt arising under the share purchase agreement. The guarantee is not collateral to the mortgage in the sense that it was not given as additional security for the mortgage debt.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loan agreement dated February 15, 2008 recites that Marshall Business Center Inc. and Michael Matviesen each agree to execute a guarantee with respect to Epod Ventures Inc.'s indebtedness to Rene Dureault and Irene Dureault in the amount of $4,000,000. The recitations to the loan agreement include that the indebtedness was "pursuant to the terms of the share purchase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Epod Ventures Inc. disputes that it is indebted to Rene Dureault and Irene Dureault in the amount of $4,000,000. As noted, the dispute lies in its allegations that it relied upon material financial misrepresentations made by the Dureaults and on allegations that the Dureaults wrongfully removed assets from a company whose shares were being sold. The mortgage given by Marshall Business Center Inc. and the guarantee given by Michael Matviesen was collateral security pursuant to the loan agreement but relating to the debt arising from the share purchase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Michael Matviesen claims that he is entitled to the benefit of offsets due Epod Ventures Inc. under the share purchase agreement. He submits that he guaranteed the purchase price due to the Dureaults under the share purchase agreement and no more. He submits that the amount due them is far less than they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of the opinion that those issues must be tried. I refuse to grant the Dureaults summary judgment against Michael Matvieshen 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seems to me that this application for summary judgment against Michael Matvieshen is being driven by his having been added as a party to a foreclosure proceeding. But in my opinion, because the claim against him is not under a mortgage, it must be tried in accordance with the rules applicable to a claim under a guarantee. If there is to be a summary trial, it should be under Rule 18(A).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in the main proceeding seek to have the foreclosure proceeding stayed, and to have the foreclosure proceeding consolidated with the main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see no reason to stay the foreclosure proceedings. There has been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pronounced in that proceeding. The redemption period has expired. No appeal was taken from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Peal v. Western Delta</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2003 BCSC 784</w:t>
        </w:r>
      </w:hyperlink>
      <w:r>
        <w:rPr>
          <w:rFonts w:ascii="arial" w:eastAsia="arial" w:hAnsi="arial" w:cs="arial"/>
          <w:color w:val="000000"/>
          <w:sz w:val="20"/>
          <w:lang w:val="en-US" w:eastAsia="en-US" w:bidi="ar-SA"/>
        </w:rPr>
        <w:t xml:space="preserve"> (S.C.), Madam Justice Allan discusses whether actions should be consolidated or set down for trial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notes that Rule 5(8) provides that proceedings may be consolidated at any time by order of the court or may be ordered to be tried at the same time or on the same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She refers to </w:t>
      </w:r>
      <w:r>
        <w:rPr>
          <w:rFonts w:ascii="arial" w:eastAsia="arial" w:hAnsi="arial" w:cs="arial"/>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86 B.C.L.R. (3d) 120</w:t>
        </w:r>
      </w:hyperlink>
      <w:r>
        <w:rPr>
          <w:rFonts w:ascii="arial" w:eastAsia="arial" w:hAnsi="arial" w:cs="arial"/>
          <w:color w:val="000000"/>
          <w:sz w:val="20"/>
          <w:lang w:val="en-US" w:eastAsia="en-US" w:bidi="ar-SA"/>
        </w:rPr>
        <w:t xml:space="preserve"> (S.C.) and concludes that consolidation is appropriate where the parties are the same and the issues are common so that disposition of one of the actions necessarily dispose the issues in the other. An order of consolidation results in a single proceeding with a consolidated statement of claim and a consolidated statement of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refusing consolidation, Madam Justice Allan notes that the pleadings before her are numerous and complex, that the issues in each of the two actions before her differ, and that some of the defendants had more limited roles than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noting that questions of fact and law raised in both actions should probably be heard in a single trial, she orders that the evidence in each action should be evidence in both actions for the purpose of all trial and pre-trial procedures as if the actions were consolidated and that evidence that is otherwise admissible and relevant obtained at an examination for discovery in one action (either concluded or future) will be admissible both in that action and in the other action as if the evidence had been obtained in the other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foreclosure proceeding should not be consolidated with the main action. The procedures for a foreclosure proceeding differ from an action commenced by a Writ. There has already been a final order in the foreclosure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concluded that the claim against Michael Matviesen in the foreclosure proceeding ought to be tried at the same time as the claims in the main proceeding are tried and that evidence in one proceeding at trial and in all pre-trial procedures shall be evidence in the other. I so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Eaton Bay Trust Co. v. Motherload Developments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50 B.C.L.R. 149</w:t>
        </w:r>
      </w:hyperlink>
      <w:r>
        <w:rPr>
          <w:rFonts w:ascii="arial" w:eastAsia="arial" w:hAnsi="arial" w:cs="arial"/>
          <w:color w:val="000000"/>
          <w:sz w:val="20"/>
          <w:lang w:val="en-US" w:eastAsia="en-US" w:bidi="ar-SA"/>
        </w:rPr>
        <w:t xml:space="preserve"> (S.C.) McTaggart L.J.S.C. discusses the appointment of an interested party as receiver. At paragraphs 8 and 9 he notes that such an appointment may be supported in special circumstances and that an interested party who is appointed a receiver is not usually allowed remuneration.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appointing Rene Dureault as receiver/manager on April 15, 2008 the master ordered that any expenditure which shall be properly made and incurred by the receiver/manager shall form a charge on the foreclosed lands and premises in priority to all charges save and except those imposed by statute which cannot be postponed to the charge that is created. She did not order that Rene Dureault would receive remuneration for acting as receiver/manager.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Rene Dureault submitted that he was not claiming remuneration for acting as receiver/manager and that he would not do so. He submitted that there was an obvious benefit to all of the parties in having him act as receiver/manager.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only a limited need to have a receiver/manager at all. The only business matters still to be addressed are the need to complete some site work on the property under development and the need to apply for release of bonds with the City of Kelowna.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Michael Matviesen applies to have K.P.M.G. L.L.P appointed as receiver/manager in the place of Rene Dureault. The petitioners in the foreclosure proceeding consent to the appointment of K.P.M.G. L.L.P. as receiver/manager on condition that Michael Matviesen be personally responsible for its remuneration, and on condition that they continue to have conduct of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concluded that on the material that is before me there is no reason why the master's order giving the Dureaults conduct of sale should be varied. It is in the Dureaults best interests to sell the mortgaged lots for as high a price as possible and as soon as possible. Sales must be approved by the court. The parties will have the opportunity of presenting evidence on an application for approval of a sale as to the adequacy of a proposed sale price.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opposition to the Dureaults having conduct of sale seem to me to go no farther than that the applicants believe that other sales strategies or negotiating strategies should have been employed. It is, in my view, questionable whether other strategies would have resulted in any more offers or better offers. I have not been shown any reason to vary the existing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not been persuaded that there is sufficient reason to justify the cost of an independent receiver/manager. The business matters that still need to be attended to are few and discrete. On the other hand, given that the Dureaults consent to the appointment of K.P.M.G. L.L.P. as long as Michael Matviesen is responsible for its remuneration, I see no reason not to appoint K.P.M.G. L.L.P. receiver/manager on condition that Michael Matviesen agree to be personally responsible for its remuneration. I order that K.P.M.G. L.L.P. be appointed as receiver/manager in the place and stead of Rene Dureault if Michael Matviesen files his written agreement to be personally responsible for its remuneration.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K.P.M.G L.L.P. is appointed as receiver/manager on those terms, its appointment shall include these two additional terms:</w:t>
      </w:r>
      <w:r>
        <w:rPr>
          <w:lang w:val="en-US" w:eastAsia="en-US" w:bidi="ar-SA"/>
        </w:rPr>
        <w:cr/>
      </w:r>
    </w:p>
    <w:p>
      <w:pPr>
        <w:spacing w:line="260" w:lineRule="atLeast"/>
        <w:ind w:left="1080"/>
        <w:rPr>
          <w:lang w:val="en-US" w:eastAsia="en-US" w:bidi="ar-SA"/>
        </w:rPr>
      </w:pPr>
      <w:r>
        <w:rPr>
          <w:rFonts w:ascii="arial" w:eastAsia="arial" w:hAnsi="arial" w:cs="arial"/>
          <w:color w:val="000000"/>
          <w:sz w:val="20"/>
          <w:lang w:val="en-US" w:eastAsia="en-US" w:bidi="ar-SA"/>
        </w:rPr>
        <w:t>Limitation on Environmental Liabilities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COURT ORDERS that nothing in this Order shall require the Receiver/Manager to occupy or to take control, care, charge, possession or management (separately and/or collectively, "Possession") of any of the Property that might be environmentally contaminated, might be a pollutant or a contaminant, or might cause or contribute to a spill, discharge, release, or deposit of a substance contrary to any federal, provincial or other law relating to the protection, conservation, enhancement, remediation or rehabilitation of the environment or relating to the disposal of waste or other contamination including, without limitation, the </w:t>
      </w:r>
      <w:r>
        <w:rPr>
          <w:rFonts w:ascii="arial" w:eastAsia="arial" w:hAnsi="arial" w:cs="arial"/>
          <w:i/>
          <w:color w:val="000000"/>
          <w:sz w:val="20"/>
          <w:lang w:val="en-US" w:eastAsia="en-US" w:bidi="ar-SA"/>
        </w:rPr>
        <w:t>Canadian Environmental Protection Act,</w:t>
      </w:r>
      <w:r>
        <w:rPr>
          <w:rFonts w:ascii="arial" w:eastAsia="arial" w:hAnsi="arial" w:cs="arial"/>
          <w:color w:val="000000"/>
          <w:sz w:val="20"/>
          <w:lang w:val="en-US" w:eastAsia="en-US" w:bidi="ar-SA"/>
        </w:rPr>
        <w:t xml:space="preserve"> 1999, </w:t>
      </w:r>
      <w:hyperlink r:id="rId303" w:history="1">
        <w:r>
          <w:rPr>
            <w:rFonts w:ascii="arial" w:eastAsia="arial" w:hAnsi="arial" w:cs="arial"/>
            <w:i/>
            <w:color w:val="0077CC"/>
            <w:sz w:val="20"/>
            <w:u w:val="single"/>
            <w:shd w:val="clear" w:color="auto" w:fill="FFFFFF"/>
            <w:lang w:val="en-US" w:eastAsia="en-US" w:bidi="ar-SA"/>
          </w:rPr>
          <w:t>S.C. 1999, c. 33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R.S.B.C. 1996, c. 118</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Fish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21</w:t>
      </w:r>
      <w:r>
        <w:rPr>
          <w:rFonts w:ascii="arial" w:eastAsia="arial" w:hAnsi="arial" w:cs="arial"/>
          <w:color w:val="000000"/>
          <w:sz w:val="20"/>
          <w:lang w:val="en-US" w:eastAsia="en-US" w:bidi="ar-SA"/>
        </w:rPr>
        <w:t xml:space="preserve"> and regulations there under (collectively "Environmental Legislation"), provided however that nothing herein shall exempt the Receiver/Manager from any duty to report or make disclosure imposed by applicable Environmental Legislation. The Receiver/Manger shall not, as a result of this Order or anything done in pursuance of the Receiver/Manager's duties and powers under this Order, be construed to be in Possession of any of the Property within the meaning of any Environmental legislation, unless the Receiver/Manager is actually in Possession.</w:t>
      </w:r>
    </w:p>
    <w:p>
      <w:pPr>
        <w:spacing w:before="120" w:line="260" w:lineRule="atLeast"/>
        <w:ind w:left="1080"/>
        <w:rPr>
          <w:lang w:val="en-US" w:eastAsia="en-US" w:bidi="ar-SA"/>
        </w:rPr>
      </w:pPr>
      <w:r>
        <w:rPr>
          <w:rFonts w:ascii="arial" w:eastAsia="arial" w:hAnsi="arial" w:cs="arial"/>
          <w:color w:val="000000"/>
          <w:sz w:val="20"/>
          <w:lang w:val="en-US" w:eastAsia="en-US" w:bidi="ar-SA"/>
        </w:rPr>
        <w:t>Limitation on the Receiver/Manager/s Liability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COURT ORDER that the Receiver/Manager shall incur no personal liability or obligation as a result of its appointment or the carrying out of the provisions of this Order, save and except for any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on its part. Nothing in this Order shall derogate from the protections afforded the Receiver/Manager by Section 14.06 of the BIA or by any other applicable legislation.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 refuse to order that proceeds from the sales of any of the mortgaged lots be paid into court. It will be for the court on approval applications to decide how the proceeds of sale will be dealt with. I order that the costs of these applications shall be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S.J. SHABBITS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January 14, 2010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Please be advised that the attached Reasons for Judgment of Mr. Justice Shabbits dated August 24, 2009 have been edited.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word "Center" as part of the name of the company Marshall Business Center Inc. was misspelled in the body of the document. This error has been corrected.</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Eshghabadi v. British Columbia (Minister of Public Safety and Solicitor General), [2011] B.C.J. No. 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S107385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813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Reza Eshghabadi, Petitioner, and Minister of Public Safety and the Solicitor General, Corrections Branch, operating as Fraser Regional Correctional Centre,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10"/>
      <w:bookmarkEnd w:id="72"/>
      <w:r>
        <w:rPr>
          <w:rFonts w:ascii="arial" w:eastAsia="arial" w:hAnsi="arial" w:cs="arial"/>
          <w:b/>
          <w:color w:val="000000"/>
          <w:sz w:val="20"/>
          <w:lang w:val="en-US" w:eastAsia="en-US" w:bidi="ar-SA"/>
        </w:rPr>
        <w:t>Administrative law — Judicial review and statutory appeal — Jurisdiction of the court to review — Application by Eshghabadi for judicial review of the respondent Minister's denial of his request for replacement dentures allowed — While a prisoner, all of Eshghabadi's teeth were extracted — The respondent exercised a statutory power of decision and the decision was subject to judicial review — The attending dentist recommended the provision of replacement dentures and the respondent had a statutory duty to provide them — Furthermore, the decision was unreasonable as the conclusion that Eshghabadi had consented to the extraction was unexplained and unjustified — Orders in the nature of mandamus and certiorari were granted.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Administrative law — Prerogative and private law remedies — Certiorari — Mandamus — Application by Eshghabadi for judicial review of the respondent Minister's denial of his request for replacement dentures allowed — While a prisoner, all of Eshghabadi's teeth were extracted — The respondent exercised a statutory power of decision and the decision was subject to judicial review — The attending dentist recommended the provision of replacement dentures and the respondent had a statutory duty to provide them — Furthermore, the decision was unreasonable as the conclusion that Eshghabadi had consented to the extraction was unexplained and unjustified — Orders in the nature of mandamus and certiorari were granted.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Prison administration — Rights of prisoners — Application by Eshghabadi for judicial review of the respondent Minister's denial of his request for replacement dentures allowed — While a prisoner, all of Eshghabadi's teeth were extracted — The respondent exercised a statutory power of decision and the decision was subject to judicial review — The attending dentist recommended the provision of replacement dentures and the respondent had a statutory duty to provide them — Furthermore, the decision was unreasonable as the conclusion that Eshghabadi had consented to the extraction was unexplained and unjustified — Orders in the nature of mandamus and certiorari were granted.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10"/>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Eshghabadi for judicial review of the denial of his request for replacement dentures. Eshghabadi was a prisoner at the Fraser Regional Correctional Centre. While he was a prisoner, all of Eshghabadi's teeth were extracted and he was therefore unable to continue using his partial dentures. Eshghabadi was seeking an order in the nature of certiorari quashing the decision of the respondent Minister of Public Safety and Solicitor General to deny his request for replacement dentures. He was also seeking an order in the nature of mandamus compelling the respondent to provide him with replacement dentures. Eshghabadi took the position that the respondent had a statutory duty to provide him with access to adequate health care and essential dental services, which included replacement dentures. He further submitted that the decision was unfair as the basis for it was unexplained. The respondent took the position that no statutory duty was breached and that there was no proper basis for judicial review.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7"/>
            <w:bookmarkEnd w:id="7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respondent made a determination within the applicable legal framework which affected Eshghabadi's right to access health care while an inmate. In doing so, the respondent exercised a statutory power of decision and the decision was therefore subject to judicial review. The decision was unreasonable as there was no evidence that Eshghabadi gave informed consent to the extraction of all his teeth. The basis for the conclusion that Eshghabadi had consented was unexplained and unjustified. Furthermore, the attending health care professional recommended the provision of replacement dentures as he was of the opinion that Eshghabadi's toothlessness was injurious to his health and well-being. The respondent had a statutory duty to provide Eshghabadi with replacement dentures. Orders in the nature of mandamus and certiorari were granted.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9"/>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Correction Act, </w:t>
      </w:r>
      <w:hyperlink r:id="rId313" w:history="1">
        <w:r>
          <w:rPr>
            <w:rFonts w:ascii="arial" w:eastAsia="arial" w:hAnsi="arial" w:cs="arial"/>
            <w:i/>
            <w:color w:val="0077CC"/>
            <w:sz w:val="20"/>
            <w:u w:val="single"/>
            <w:shd w:val="clear" w:color="auto" w:fill="FFFFFF"/>
            <w:lang w:val="en-US" w:eastAsia="en-US" w:bidi="ar-SA"/>
          </w:rPr>
          <w:t>SBC 2004, CHAPTER 46, s. 33</w:t>
        </w:r>
      </w:hyperlink>
      <w:r>
        <w:rPr>
          <w:rFonts w:ascii="arial" w:eastAsia="arial" w:hAnsi="arial" w:cs="arial"/>
          <w:color w:val="000000"/>
          <w:sz w:val="20"/>
          <w:lang w:val="en-US" w:eastAsia="en-US" w:bidi="ar-SA"/>
        </w:rPr>
        <w:t>(2)(a), s. 33(2)(b), s. 33(2)(j)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 Act Regulation, B.C. Reg. 191/2007, s. 2(1)(a), s. 2(1)(h)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Employment and Assistance Regulation, </w:t>
      </w:r>
      <w:hyperlink r:id="rId314" w:history="1">
        <w:r>
          <w:rPr>
            <w:rFonts w:ascii="arial" w:eastAsia="arial" w:hAnsi="arial" w:cs="arial"/>
            <w:i/>
            <w:color w:val="0077CC"/>
            <w:sz w:val="20"/>
            <w:u w:val="single"/>
            <w:shd w:val="clear" w:color="auto" w:fill="FFFFFF"/>
            <w:lang w:val="en-US" w:eastAsia="en-US" w:bidi="ar-SA"/>
          </w:rPr>
          <w:t>B.C. Reg. 263/2002, s. 69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315" w:history="1">
        <w:r>
          <w:rPr>
            <w:rFonts w:ascii="arial" w:eastAsia="arial" w:hAnsi="arial" w:cs="arial"/>
            <w:i/>
            <w:color w:val="0077CC"/>
            <w:sz w:val="20"/>
            <w:u w:val="single"/>
            <w:shd w:val="clear" w:color="auto" w:fill="FFFFFF"/>
            <w:lang w:val="en-US" w:eastAsia="en-US" w:bidi="ar-SA"/>
          </w:rPr>
          <w:t>RSBC 1996, CHAPTER 241, s. 1</w:t>
        </w:r>
      </w:hyperlink>
      <w:r>
        <w:rPr>
          <w:rFonts w:ascii="arial" w:eastAsia="arial" w:hAnsi="arial" w:cs="arial"/>
          <w:color w:val="000000"/>
          <w:sz w:val="20"/>
          <w:lang w:val="en-US" w:eastAsia="en-US" w:bidi="ar-SA"/>
        </w:rPr>
        <w:t>, s. 2, s. 2(2)(a), s. 3, s. 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10"/>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K. Sim.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 Jackson, F. Zaltz.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10"/>
      <w:bookmarkEnd w:id="77"/>
      <w:r>
        <w:pict>
          <v:line id="_x0000_s1083"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G. DICKSON J. (orally)"/>
            <w:bookmarkEnd w:id="78"/>
            <w:r>
              <w:rPr>
                <w:rFonts w:ascii="arial" w:eastAsia="arial" w:hAnsi="arial" w:cs="arial"/>
                <w:b/>
                <w:color w:val="000000"/>
                <w:sz w:val="30"/>
                <w:lang w:val="en-US" w:eastAsia="en-US" w:bidi="ar-SA"/>
              </w:rPr>
              <w:t>G. DICKSON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is a prisoner at the Fraser Regional Correctional Centre (the "FRCC"). He seeks relief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quashing the decision of the respondent's delegate denying his request for replacement dentures, relief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compelling the respondent to provide him with dentures, a declaration that the respondent's medical form does not accord with the </w:t>
      </w:r>
      <w:r>
        <w:rPr>
          <w:rFonts w:ascii="arial" w:eastAsia="arial" w:hAnsi="arial" w:cs="arial"/>
          <w:i/>
          <w:color w:val="000000"/>
          <w:sz w:val="20"/>
          <w:lang w:val="en-US" w:eastAsia="en-US" w:bidi="ar-SA"/>
        </w:rPr>
        <w:t>Correction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Correction Act Regulation</w:t>
      </w:r>
      <w:r>
        <w:rPr>
          <w:rFonts w:ascii="arial" w:eastAsia="arial" w:hAnsi="arial" w:cs="arial"/>
          <w:color w:val="000000"/>
          <w:sz w:val="20"/>
          <w:lang w:val="en-US" w:eastAsia="en-US" w:bidi="ar-SA"/>
        </w:rPr>
        <w:t>, B.C. Reg. 191/2007 (the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or relevant policy, and costs. The petition is brought pursuant to the provisions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summary, the petitioner submits that the respondent has a statutory duty pursuant to the terms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to provide him with access to adequate healthcare and maintenance, including essential dental services. In this case, he says that such care and maintenance includes the provision of replacement dentures following the extraction in prison of all of his teeth. He goes on to say that the decision of the respondent's delegate refusing his request for replacement dentures (the "Decision") is unreasonable, given the nature of the statutory duty that applies. In addition, he says the decision-making process was unfair because relevant information was not obtained or ignored and the basis for the Decision is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respondent replies that no statutory duty was breached and no statutory power of decision was exercised in connection with the petitioner's unmet request for replacement dentures. Accordingly, in his submission, there is no proper basis for judicial review pursuant to the provisions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In the alternative, in the respondent's submission, the Decision was reasonable and should not be disturbed by judicial intervention. If it is to be quashed, however, the matter should be remitted to the respondent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 for determination is what remedy, if any, is available to the petitioner with respect to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establish the powers and duties of those in charge of correctional centres in British Columbia. Sections 33(2)(a), (b), and (j)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the Lieutenant Governor in Council may make regulations as follows: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management, operation, and security of correctional centres;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the powers and duties of persons employed in or about a correctional centre and the qualifications, powers and duties of probation officers;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diet, clothing, maintenance, accommodation, employment and training of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Sections 2(1)(a) and (h) of the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(1) Subject to subsection (2), the person in charge must ensure that an inmate is given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meals of the type ordinarily served to inmates,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health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parameters of the powers and duties set out in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are informed by the B.C. Corrections Branch Adult Custody Policy Manual (the "Manual"). Section 9.5 of the Manual deals with, amongst other matters, essential dental services, dentures and prosthetic devices. It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9.5.1 Dental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Corrections Branch provides essential dental services to inmates when there is: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serious disease or injury that is curable or can be substantially alleviated;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potential for harm to the inmate if care was delayed or denied.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9.5.2 Management of dental care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Dentists are responsible for management of the dental health care program and delivery of services to inmates.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responsible to the warden and medical director, Corrections Branch for quality of care.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attending dentist, in co-ordination with health care and correctional staff, determines scheduling of inmates for dental care.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9.5.3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Services provided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is determined that dental care is essential, Corrections Branch provides service at no cost to the inmate.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Branch does not provide accelerated or extensive dental services prior to release for any condition that can be addressed by the inmate after release.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Branch does not provide elective or non-acute dental care, elective oral surgery, and orthodontic or cosmetic services.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Non-acute conditions that - in the opinion of the dentist - could become medical problems if left untreated during incarceration, may be addressed on a non-emergency basis.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Branch does not provide prostheses for pre-existing conditions except when it is medically essential during incarceration. The inmate must demonstrate that the existing dentition is inadequate to consume a prison diet. Inmates who have functioned adequately in that condition prior to incarceration are not provided prostheses.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9.5.4 Dentures or partials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in the opinion of a qualified health care professional, it is injurious to the health of an inmate not to receive necessary dentures or partials, and the inmate is on a long-term remand or has a long period remaining on the sentence, they may be purchased: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inmate who has the funds or resources, the inmate is required to pay from those funds, or obtain funds from their resources to pay, in whole or in part, for the dentures or partials. When the inmate can pay only part of the costs, the remainder is the responsibility of the Corrections Branch.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inmate is without funds or resources to purchase the dentures or partials, the entire cost is the responsibility of the Corrections Branch.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must be completed and signed prior to the commencement of the dental work or the fabrication of a dental prosthesis to replace missing or extracted teeth. This agreement represents a mutually acceptable financial responsibility between the inmate and the correctional centre regarding identified costs.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Corrections Branch does not assume responsibility for replacing missing or extracted teeth, unless a determination has been made by a qualified health care professional that missing or extracted teeth may be injurious to the well-being or life of the inmate.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inmate's dentures or partials are lost or damaged, through no fault of the inmate, and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culpability of the inmate or other inmates, the entire cost of replacement is the responsibility of the Corrections Branch.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Inmates may purchase dentures or partials at their own expense if the purchase is approved by the health care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 has been incarcerated at the FRCC since November 20, 2009. He is due to be released on March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petitioner is a 52-year-old Iranian-born Canadian. His first language is Farsi. It is apparent from prison medical records, as well as his own affidavit, that the petitioner has difficulty communicating in English. In some of his interactions with prison healthcare staff since his admission, he has been assisted by an interpreter; in others he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petitioner had 10 teeth and poorly-fitting partial dentures in his oral cavity when he arrived at the FRCC. The partial dentures were obtained in Iran in 2001 and secured to his remaining teeth with dental adhesive. On November 23, 2009 the petitioner saw a physician, Dr. Beckett, who noted that his gums were red, raw, and painful. Dr. Beckett gave the petitioner Poligrip (R), prescribed a soft diet, and, at the petitioner's request, referred him to a dentist. He also discussed the petitioner's desire to wean himself off of methadone.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25, 2009, the petitioner saw Dr. Luk, the institutional dentist. Dr. Luk placed him under anaesthetic and extracted some of his remaining teeth. It appears from the medical records that following this procedure the petitioner was able to retain his partial dentures. On November 30, 2009, however, Dr. Luk extracted the rest of his teeth and thereafter he could no longer use the partial dentures. As a result, he was rendered entirely toothless.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petitioner did not have the assistance of an interpreter when he met with Dr. Luk on November 25 or 30, 2009. He deposes that he did not understand Dr. Luk would be removing all of his teeth and did not consent to the dental procedures that were performed. He also deposes that had he known the FRCC would not provide him with replacement dentures, he would not have agreed to undergo these procedures. Rather, he would have continued to rely upon his remaining teeth to secure his partial dentures and thus enable him to eat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medical records of the petitioner's consultations with Dr. Luk do not include any reference to the matter of informed consent to the dental procedures conducted. They also do not include an agreement regarding financial responsibility for the replacement of missing or extracted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petitioner deposes that he has been unable to eat normally or to consume the regular prison diet since his remaining teeth were extracted. The medical records reveal that, following the extractions, he received a liquid diet until December 3, 2009 and a soft diet from then until May 13, 2010. On May 13, 2010, a pureed diet was requested by medical staff, but it only remained in effect until May 15 because the petitioner found it unpalatable. Thereafter, the records indicate that the petitioner requested a normal diet. He deposes, however, that as a result of his toothlessness he is able to eat only soup and soft starchy foods such as mashed potatoes, some of which he obtains by trading food with other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petitioner also deposes that he has lost approximately 18 pounds since his admission to the FRCC and experiences stomach complaints, dizziness, anxiety, and embarrassment. He attributes his weight loss and other complaints to his toothlessness and the FRCC's failure to provide him with replacement dentures after Dr. Luk extracted his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petitioner repeatedly asked FRCC staff to provide him with replacement dentures after all of his teeth were extracted. His requests were, however, repeatedly refused. In January 2010, he contacted the Prisoners' Legal Services ("PLS") for assistance in attempting to obtain replacement dentures. On January 24, 2010, with help, he also submitted a written complaint to the warden regarding the extractions (the "Complaint").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came into custody with false teeth. Ten original teeth held these false teeth in place (four bottom, six top). While on IA, I submitted a request to see the dentist seeking adhesive glue for my false teeth. When I saw the dentist he extracted the (10) Ten existing teeth that held my false teeth without consultation or approval. As a result I am having extreme difficulty eating where prior to my teeth being extracted I had no difficulty. I am desperately seeking redress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28, 2010, Joel Doucette, a PLS legal advocate, wrote to the warden to request that the petitioner be fitted immediately with dentures.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29, 2010, the Deputy Warden responded to the Complaint submitted by the petitioner. In so doing, he wrote that "For medical issues we defer to the medical professionals and their decisions." He went on to advise the petitioner to return to Dr. Luk and inform him of what may have to be done to rectify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2, 2010, the petitioner consulted again with Dr. Luk. The medical records of the consultation include the following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[Inmate] would benefit from complete upper and lower dentures. Undoubtedly not having any teeth has affected him psychosocially and less so physically ... Application for extended health care benefits applied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Luk completed an FRCC Medical Services Form directed to the Director of Programs and Services (the "Form") following the February 2, 2010 consultation. The Form is dated February 3rd at the top. On it, Dr. Luk recommends that the petitioner be provided with upper and lower dentures, which he indicates would cost $1,000. Under "Comments" near the top of the Form, he writes "I/M" - which I take to mean inmate - "unable to pay any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recommendation section, the Form includes a section headed "If the above is not provided prior to discharge, the inmate's health will:". Thereafter, there are three options set out on the Form. They are:</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be impaired and can be dealt with after release.</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physical/psychological discomfort, but will not impair general condition.</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 seriously impaired and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Luk checked the Form's second option. He did not include any further comment, although there is a space available for that purpose. The Form does not reference the inmate's anticipated date of release from custody. It also does not track the language or criteria set out in the Manual for the provision of dentures to inmates at the cost of the Corrections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19, 2010, the petitioner consulted again with Dr. Beckett. In the medical records, Dr. Beckett notes that he reported he can eat only soup and milk because he has no teeth and has lost weight. Under the heading "Assessment", Dr. Beckett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Edentulous, claiming serious undernourishment and weight loss as a result. Advised to mince his own food as anyone in the community would do in this situation. Declines having food pureed for him by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Also on February 19, 2010 the warden responded to the January 28, 2010 letter written by the PLS legal advocate.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centre does not make assessments on medical procedures. This is an issue that is decided confidentially by medical professionals within our Health Care Department. Any further inquiries regarding this matter will be directed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we have directed an officer to assist Mr. Eshghabadi in completing a request form to ensure he is seen and followed up by our Health Care Department in order to ensure health needs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8, 2010, Dr. Luk advised the petitioner that his request for replacement dentures was denied because he had no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1, 2010, PLS initiated an investigation through the Investigation and Standards Office regarding the FRCC's refusal to provide the petitioner with replacement dentures. The ISO Inspector appointed was Lynette Pineau.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16, 2010 Dr. Beckett sent an email to Ms. Pineau with respect to the investigation. In it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During incarceration he: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Abruptly weaned off Methadone. During this period he found it difficult to eat, had abdominal pain, finds it difficult to digest. He was clearly counselled at length beforehand that he would endure these exact symptoms if he abruptly weaned himself off Methadone. At the date of his complaint he attributes his abdominal pain to a dietary problem which he was clearly told was not the case.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appropriate care for urgent dental problems which he himself requested.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time I personally met the fellow he had language difficulties, yet clearly understood and followed all conversations. When he saw the dentist, it appears from the note that he clearly understood what he was going to have done - rotten dental stump removal, and that subsequently it becomes clear he had expected the prison would then provide dentures for him. This man misrepresents himself has having a language barrier that renders him incapable of understanding - this was not my finding in the clinic.</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saw him several weeks after his dental procedure, noted he was very well-nourished, that he </w:t>
      </w:r>
      <w:r>
        <w:rPr>
          <w:rFonts w:ascii="arial" w:eastAsia="arial" w:hAnsi="arial" w:cs="arial"/>
          <w:color w:val="000000"/>
          <w:sz w:val="20"/>
          <w:u w:val="single"/>
          <w:lang w:val="en-US" w:eastAsia="en-US" w:bidi="ar-SA"/>
        </w:rPr>
        <w:t>refused</w:t>
      </w:r>
      <w:r>
        <w:rPr>
          <w:rFonts w:ascii="arial" w:eastAsia="arial" w:hAnsi="arial" w:cs="arial"/>
          <w:color w:val="000000"/>
          <w:sz w:val="20"/>
          <w:lang w:val="en-US" w:eastAsia="en-US" w:bidi="ar-SA"/>
        </w:rPr>
        <w:t xml:space="preserve"> to have food minced or pureed for him for ease of consumption.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weights were subsequently measured and found to be not only stable, actually </w:t>
      </w:r>
      <w:r>
        <w:rPr>
          <w:rFonts w:ascii="arial" w:eastAsia="arial" w:hAnsi="arial" w:cs="arial"/>
          <w:color w:val="000000"/>
          <w:sz w:val="20"/>
          <w:u w:val="single"/>
          <w:lang w:val="en-US" w:eastAsia="en-US" w:bidi="ar-SA"/>
        </w:rPr>
        <w:t>increasing</w:t>
      </w:r>
      <w:r>
        <w:rPr>
          <w:rFonts w:ascii="arial" w:eastAsia="arial" w:hAnsi="arial" w:cs="arial"/>
          <w:color w:val="000000"/>
          <w:sz w:val="20"/>
          <w:lang w:val="en-US" w:eastAsia="en-US" w:bidi="ar-SA"/>
        </w:rPr>
        <w:t xml:space="preserve"> by the end of March.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gentleman has a preference for food that meets his tactile demands, refusing prison diet offered to him in minced or pureed format.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claims weight loss not in evidence.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presents as well-nourished on physical examination</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had abdominal cramps he misrepresented this as due to a dietary problem, when in fact he knew it was from his own, voluntary, abrupt withdrawal from Methadone.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qualified medical opinion that there has been no demonstrable injury to this gentleman's health resulting from not receiving dental prosthetics.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April 28, 2010, Ms. Pineau concluded that the FRCC had provided the dental care the petitioner requested in accordance with B.C. Corrections Branch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July 12, 2010, Rachel Kelly, a PLS legal advocate, wrote to the FRCC requesting copies of the petitioner's medical records. On July 26, 2010, she wrote to Miguel Alvarado, manager of the FRCC Health Services, to renew his request for replacement dentures. In her letter, Ms. Kelly asserted that the petitioner was suffering ongoing dizziness, weight loss, and digestive problems as a result of his toothlessness.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September 17, 2010, Mr. Alvarado responded to Ms. Kelly's letters. His response, transmitted by email, is the Decision specifically concerning which the petitioner seeks judicial review.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your request on your letter dated July 12th, 2010, we reviewed this case again with the MD, the dentist, and the FRCC admin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all concur that the patient was well informed in advance of the procedure that was taking place. The procedure was performed with his consent. No injurious consequences have taken place due to the procedure. No digestive problems have been linked to this dental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this review, we conclude again that the centre will not be providing dentures to this individual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medical records indicate that the petitioner lost approximately 6 kilograms between his admission date in November 2009 and the date of the Decision. In particular, they indicate that when he was admitted to the FRCC in November 2009 the petitioner weighed 78 kilograms and by September 2010 he weighed approximately 72 kilograms. The records do not include notations specifically relating the petitioner's weight loss or digestive difficulties to the extractions and his resulting toothlessness. They also do not include notations relating these difficulties, in an ongoing sense, to any other specific cause or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petitioner remains unable to purchase replacement dentures. He is paid $4.50 per day to work at his prison employment and, as of November 3, 2010, the balance in his institutional account was $47.50.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is an exclusively procedural statute. It sets out the applicable procedure for judicial review by the British Columbia Supreme Court of judicial and administrative action. It does not modify the substantive law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a matter of substance, judicial review is the means by which provincial superior courts supervise those who exercise statutory powers. Its function is to ensure the legality, reasonableness and fairness of the administrative process and its outcomes. In discharging its constitutional duty, however, the reviewing court must take care to avoid undue interference in respect of matters legislatively delegated for decision to administrative bodies: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[2008] S.C.J. No.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making their decisions, administrative bodies must take care not to overreach the limits of their legal authority. In addition, every public authority that makes an administrative decision which is not of a legislative nature and affects the rights, privileges or interests of an individual has a duty to act fairly in coming to its decision: </w:t>
      </w:r>
      <w:r>
        <w:rPr>
          <w:rFonts w:ascii="arial" w:eastAsia="arial" w:hAnsi="arial" w:cs="arial"/>
          <w:i/>
          <w:color w:val="000000"/>
          <w:sz w:val="20"/>
          <w:lang w:val="en-US" w:eastAsia="en-US" w:bidi="ar-SA"/>
        </w:rPr>
        <w:t>Cardinal v. Kent Institution</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[1985] S.C.J. No. 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The requirements of procedural fairness will vary with the type of decision maker and the type of decision under consideration. In all cases, a contextual analysis and appropriate deference to the administrative decision maker are essential: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Foster v. Mission Institution (Warden)</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2010 BCSC 781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Deference, in the judicial review context, is both an attitude and a legal requirement. It imports respect of the decision making process of administrative bodies and the expertise and experience they bring to their legislatively assigned tasks. Given the range and complexity of administrative schemes that are subject to judicial review, however, different degrees of deference will be applied depending on who is deciding upon what: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standard of judicial review on true jurisdictional and many legal issues is a standard of correctness. The standard of review on the merits of an administrative decision is a standard of reasonableness. An administrative decision is reasonable if it is reached within a justifiable, transparent and intelligible decision-making process and its result falls within a range of possible acceptable outcomes which are defensible in respect of the facts and law: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defines, amongst other things, the terms "decision", "statutory power", "statutory power of decision", and "tribunal". It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 includes a determination or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power" means a power or right conferred by an enactment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 regulation, rule, bylaw or order,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a statutory power of decision,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require a person to do or to refrain from doing an act or thing that, but for that requirement, the person would not be required by law to do or to refrain from doing,</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an act or thing that would, but for that power or right, be a breach of a legal right of any person,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an investigation or inquiry into a person's legal right, power, privilege, immunity, duty or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power of decision" means a power or right conferred by an enactment to make a decision deciding or prescribing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rights, powers, privileges, immunities, duties or liabilities of a person,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eligibility of a person to receive, or to continue to receive, a benefit or licence, whether or not the person is legally entitled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the powers of the Provincial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"tribunal" means one or more persons, whether or not incorporated and however described, on whom a statutory power of decision is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sets out the remedies available on a judicial review application. Section 3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deals with the court's power to set aside a decision based on an error of law. They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An application for judicial review must be brought by way of a petition proceeding.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for judicial review, the court may grant any relief that the applicant would be entitled to in any one or more of the proceedings for:</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in the nature of mandamus, prohibition or certiorari;</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Error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court's power to set aside a decision because of error of law on the face of the record on an application for relief in the nature of certiorari is extended so that it applies to an application for judicial review in relation to a decision made in the exercise of a statutory power of decision to the extent it is not limited or precluded by the enactment conferring the power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remedy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referenced in s. 2(2)(a)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compels the performance of a public duty; the remedy of prohibition prohibits the making of a decision; the remedy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permits a decision already made to be set aside: </w:t>
      </w:r>
      <w:r>
        <w:rPr>
          <w:rFonts w:ascii="arial" w:eastAsia="arial" w:hAnsi="arial" w:cs="arial"/>
          <w:i/>
          <w:color w:val="000000"/>
          <w:sz w:val="20"/>
          <w:lang w:val="en-US" w:eastAsia="en-US" w:bidi="ar-SA"/>
        </w:rPr>
        <w:t>Culhane v. British Columbia (Attorney General),</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[1980] B.C.J. No. 1556</w:t>
        </w:r>
      </w:hyperlink>
      <w:r>
        <w:rPr>
          <w:rFonts w:ascii="arial" w:eastAsia="arial" w:hAnsi="arial" w:cs="arial"/>
          <w:color w:val="000000"/>
          <w:sz w:val="20"/>
          <w:lang w:val="en-US" w:eastAsia="en-US" w:bidi="ar-SA"/>
        </w:rPr>
        <w:t>. Declaratory and injunctive relief are referenced in s. 2(2)(b) and relate to statutory powers that may or may not have been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respondent takes the position that s. 2(2)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permits judicial review of an alleged breach of statutory duty and s. 3 permits judicial review of a statutory power of decision. Taking into account the language of both sections, I cannot agree with this interpretation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noted,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is a procedural statute. Section 2 sets out the full range of relief available on judicial review of allegations of breach or proposed breach of statutory duty, allegations that administrative decisions are unreasonable and allegations of procedural unfairness. Amongst other things, s. 2 permits the court to quash decisions by means of an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and thus plainly applies to statutory powers of decision. Section 3 simply extends the court's power to quash such decisions based on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Not all decisions made by public authorities fall within the definition of a statutory power of decision, however, and thus not all are subject to judicial review. In </w:t>
      </w:r>
      <w:r>
        <w:rPr>
          <w:rFonts w:ascii="arial" w:eastAsia="arial" w:hAnsi="arial" w:cs="arial"/>
          <w:i/>
          <w:color w:val="000000"/>
          <w:sz w:val="20"/>
          <w:lang w:val="en-US" w:eastAsia="en-US" w:bidi="ar-SA"/>
        </w:rPr>
        <w:t>Sea Shepherd Conservation Authority v. B.C.</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(1984), 55 B.C.L.R. 260</w:t>
        </w:r>
      </w:hyperlink>
      <w:r>
        <w:rPr>
          <w:rFonts w:ascii="arial" w:eastAsia="arial" w:hAnsi="arial" w:cs="arial"/>
          <w:color w:val="000000"/>
          <w:sz w:val="20"/>
          <w:lang w:val="en-US" w:eastAsia="en-US" w:bidi="ar-SA"/>
        </w:rPr>
        <w:t xml:space="preserve"> (B.C.S.C.), for example, Gibbs J., as he then was, held that the Minister of Environment was not exercising a statutory power of decision when he decided to implement a program for killing wolves and declined to meet with a public interest group prior to reaching his decision. For this reason, and others, he dismissed the public interest group's application for judicial review of the Minister's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conducting his analysis in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Gibbs J. considered and applied the Supreme Court of Canada's decision in </w:t>
      </w:r>
      <w:r>
        <w:rPr>
          <w:rFonts w:ascii="arial" w:eastAsia="arial" w:hAnsi="arial" w:cs="arial"/>
          <w:i/>
          <w:color w:val="000000"/>
          <w:sz w:val="20"/>
          <w:lang w:val="en-US" w:eastAsia="en-US" w:bidi="ar-SA"/>
        </w:rPr>
        <w:t>M.N.R. v. Coopers &amp; Lybrand</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[1979] 1 S.C.R. 495</w:t>
        </w:r>
      </w:hyperlink>
      <w:r>
        <w:rPr>
          <w:rFonts w:ascii="arial" w:eastAsia="arial" w:hAnsi="arial" w:cs="arial"/>
          <w:color w:val="000000"/>
          <w:sz w:val="20"/>
          <w:lang w:val="en-US" w:eastAsia="en-US" w:bidi="ar-SA"/>
        </w:rPr>
        <w:t>. He stated as follows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submission was that as the Minister's decision on the wolf kill program was made in the discharge of his duties as manager of Crown property and not one deciding or prescribing the legal rights or benefits of persons it does not fall within the exercise of a "statutory power". Even if the decision falls within the definition of "statutory power" however, it will not be subject to review unless it can be said to be judicial or quasi-judicial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M.N.R. v. Coopers &amp; Lybrand, </w:t>
      </w:r>
      <w:hyperlink r:id="rId321" w:history="1">
        <w:r>
          <w:rPr>
            <w:rFonts w:ascii="arial" w:eastAsia="arial" w:hAnsi="arial" w:cs="arial"/>
            <w:i/>
            <w:color w:val="0077CC"/>
            <w:sz w:val="20"/>
            <w:u w:val="single"/>
            <w:shd w:val="clear" w:color="auto" w:fill="FFFFFF"/>
            <w:lang w:val="en-US" w:eastAsia="en-US" w:bidi="ar-SA"/>
          </w:rPr>
          <w:t>[1979] 1 S.C.R. 495</w:t>
        </w:r>
      </w:hyperlink>
      <w:r>
        <w:rPr>
          <w:rFonts w:ascii="arial" w:eastAsia="arial" w:hAnsi="arial" w:cs="arial"/>
          <w:color w:val="000000"/>
          <w:sz w:val="20"/>
          <w:lang w:val="en-US" w:eastAsia="en-US" w:bidi="ar-SA"/>
        </w:rPr>
        <w:t>, Dickson J., as he then was, for the Court, described the range of administrative decision at p.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Administrative decision does not lend itself to rigid classification of function. Instead, one finds realistically a continuum. As paradigms, at one end of the spectrum are rent tribunals, labour boards and the like, the decisions of which are eligible for judicial review. At the other end are such matters as the appointment of the head of a Crown corporation, or the decision to purchase a battleship, determinations inappropriate to judicial intervention. The examples at either end of the spectrum are easy to resolve, but as one approaches the middle the task becomes less so. One must weigh the factors for and against the conclusion that the decision must be made on a judicial basis.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Reasonable men balancing the same factors may differ, but this does not connote uncertainty or ad hoc adjudication; it merely reflects the myriad administrative decision-making situations which may be encountered to which the reasonably well-defined principles must be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At the same p. 7 of the Coopers &amp; Lybrand case, four tests, said not to be exhaustive, are postulated as an aid to determining the category into which the ministerial decision falls. The four tests are: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anything in the language in which the function is conferred or in the general context in which it is exercised which suggests that a hearing is contemplated before a decision is reached?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decision or order directly or indirectly affect the rights and obligations of persons?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adversary process involved?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obligation to apply substantive rules to many individual cases rather than, for example, the obligation to implement social and economic policy in a broad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respondents contend that the Minister's decision on the wolf kill program is not judicial or quasi-judicial within the "spectrum" described by Dickson J. and that when the four tests are applied to it the answer to the first three is in the negative and that the answer to the fourth is that the Minister is implementing social and economic policy in the broad sense. They then cite MacMillan Bloedel Ltd. v. Min. of Forests of B.C., </w:t>
      </w:r>
      <w:hyperlink r:id="rId322" w:history="1">
        <w:r>
          <w:rPr>
            <w:rFonts w:ascii="arial" w:eastAsia="arial" w:hAnsi="arial" w:cs="arial"/>
            <w:i/>
            <w:color w:val="0077CC"/>
            <w:sz w:val="20"/>
            <w:u w:val="single"/>
            <w:shd w:val="clear" w:color="auto" w:fill="FFFFFF"/>
            <w:lang w:val="en-US" w:eastAsia="en-US" w:bidi="ar-SA"/>
          </w:rPr>
          <w:t>51 B.C.L.R. 105</w:t>
        </w:r>
      </w:hyperlink>
      <w:r>
        <w:rPr>
          <w:rFonts w:ascii="arial" w:eastAsia="arial" w:hAnsi="arial" w:cs="arial"/>
          <w:color w:val="000000"/>
          <w:sz w:val="20"/>
          <w:lang w:val="en-US" w:eastAsia="en-US" w:bidi="ar-SA"/>
        </w:rPr>
        <w:t xml:space="preserve">, and A.G. Can. v. Inuit Tapirisat of Can., </w:t>
      </w:r>
      <w:hyperlink r:id="rId323"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as authority for the principle that there is not a duty of fairness to any person when the Minister is engaged in policy determination based upon social, economic and political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conclude that the respondent's preliminary objections are well founded. The grounds recited in the petition are not the assertions of legal rights alleged to have been infringed which are the necessary basis for judicial review under s. 14 of the Judicial Review Procedure Act. In making his decision on the wolf kill program the Minister was not exercising a judicial or quasi-judicial function and accordingly he was not under a duty of fairness towards the petitioner or anyone. He was not performing a "statutory power of decision".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petitioner submits that, pursuant to the governing legislative framework, the respondent has a statutory duty to ensure his access to adequate healthcare, including essential dental services. Given the fact that all his teeth were extracted by the prison dentist without his informed consent when he had a long sentence remaining, as well as the negative impact of the extractions on his wellbeing and ability to consume a prison diet, he says replacement dentures are "medically essential" as defined by the Manual. He also says that the Manual requires the respondent to assume responsibility for the cost of replacement dentures where, as here, an inmate is without funds to purchase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According to the petitioner, the parameters of the respondent's statutory duty and the uncontroverted facts of the case render the result of the Decision unreasonable. This is so because it does not fall within a range of possible acceptable outcomes which are defensible in respect of the facts and the law. Accordingly, the petitioner submits the Decision should be quashed by an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and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should be made compelling the provision of replacement dentures.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petitioner also submits that the Decision was reached in an unfair and unreasonable manner. In particular, he says that Mr. Alvarado must have ignored relevant information in the medical records when he decided to maintain the refusal to provide replacement dentures. In the petitioner's submission, the Decision is expressed in conclusory terms and there was no basis in the evidence to support the finding that his consent to the extractions was informed or that the loss of his teeth had no injurious health consequences. For these reasons as well, he says the Decision should be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respondent replies that the Decision does not amount to a statutory power of decision within the meaning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It is, therefore, not susceptible of judicial review. In support of this submission, the respondent relies on the passage from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quoted above and submits that although the Decision affects the prisoner's rights it is not adjudicative in nature and does not meet the other criteria cited therein. In addition, the respondent submits there has been no breach of a statutory duty because the provision of replacement dentures does not fall within the requirements of 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 alternative, the respondent submits that, if a statutory power of decision was exercised, the Decision fell within the range of reasonably acceptable outcomes. As a matter of deference, he says it should not be disturbed on judicial review. If the court disagrees, however, he goes on to submit that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should not be granted. Rather, the matter should be sent back to the respondent's delegate for reconsideration pursuant to s. 5(1)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cannot agree that the Decision does not amount to a statutory power of decision. The respondent's delegate, Mr. Alvarado, made a determination within the applicable legislative framework in response to the petitioner's request for a benefit in the form of provision of replacement dentures. That determination affected the petitioner's right to access to healthcare while he was an inmate in the FRCC, which right the respondent was obliged to meet pursuant to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as further informed by the terms of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true that the Decision was not made in the context of a strictly adversarial process following a formal hearing. This does not mean, however, that it was not adjudicative in nature. On the contrary, as outlined in the Manual, it was incumbent upon the petitioner to demonstrate that his existing dentition was inadequate to consume a prison diet and, in the opinion of a qualified health care professional, it was injurious to his health not to receive replacement dentures. Mr. Alvarado was obliged to decide the application based on the available information on these matters. In addition, unlike the case in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the petitioner's application did not concern the implementation of broad social and economic policy. Rather, his individual case was the only one affected by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Taking into account the foregoing, I am satisfied that Mr. Alvarado exercised a statutory power of decision when he refused the petitioner's application for replacement dentures. That being so, the Decision is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agree that, if I find a statutory power of decision was exercised, the standard of judicial review of the merits of the Decision is reasonableness. Applying that standard, I conclude that the Decision is unreasonable. In my view, it falls outside the range of possible acceptable outcomes which are defensible on the facts and on the law. It is also based in part on unexplained and unjustifiable conclusions concerning which there was no supporting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that the petitioner's stomach complaints and weight loss since his arrival at the FRCC are not directly linked in the medical records to the extractions. These ongoing problems are also not explained in the records by any other purported cause or causes. It is not the reviewing court's role, however, to draw factual inferences or substitute its own view of the evidence for that of the administrative decision maker. In the circumstances, I defer to Mr. Alvarado's conclusion that "no digestive problems have been linked to this dental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Alvarado's conclusions as to informed consent and the absence of injurious consequences due to the extractions, however, should not be accorded similar deference. Contrary to his finding, and Dr. Beckett's assertions in his email, there is no evidence to indicate that the petitioner gave informed consent to the extraction of all his teeth whether or not replacement dentures would be provided by the FRCC. This is particularly clear given the petitioner's language difficulties and repeated requests for replacement dentures following the extractions. The basis for Mr. Alvarado's conclusion that "The procedure was performed with his consent" is unexplained and apparently unjustified.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More importantly for present purposes, the attending dentist, Dr. Luk, expressed the opinion that the petitioner's toothlessness was injurious to his health and wellbeing. He recommended the provision of replacement dentures and, although the Form did not track the Manual's language, noted that the absence of teeth caused the petitioner "physical/psychological discomfort". He also remarked in the medical records that having no teeth affected the petitioner psychosocially and less so physically. There is no evidence in the records or elsewhere to contrary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Pursuant to s. 9.5.2 of the Manual, Dr. Luk was the health care professional responsible for management of the petitioner's dental health care. This included the extractions and follow up dental care. In their emails of January and February, 2010, the Deputy Warden and Warden maintained that the decision regarding replacement dentures would be deferred to the medical professionals and directed the petitioner back to Dr. Luk. As noted, Dr. Luk recommended that the provision of replacement dentures and opined that the petitioner's toothlessness was injurious to his health and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Luk extracted all of the petitioner's teeth shortly after his arrival at the FRCC. When the extractions were performed in November, 2009 the petitioner had a long period remaining on his sentence. Thereafter, he was unable to consume an ordinary prison diet. He was also unable personally to pay for replacement dentures to enable him to eat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these circumstances, I conclude that, pursuant to the governing legislative framework, the respondent had a statutory duty to provide the petitioner with replacement dentures following the extractions. In particular, pursuant to s. 2(1)(a) and (h) of the </w:t>
      </w:r>
      <w:r>
        <w:rPr>
          <w:rFonts w:ascii="arial" w:eastAsia="arial" w:hAnsi="arial" w:cs="arial"/>
          <w:i/>
          <w:color w:val="000000"/>
          <w:sz w:val="20"/>
          <w:lang w:val="en-US" w:eastAsia="en-US" w:bidi="ar-SA"/>
        </w:rPr>
        <w:t>CA Regulation</w:t>
      </w:r>
      <w:r>
        <w:rPr>
          <w:rFonts w:ascii="arial" w:eastAsia="arial" w:hAnsi="arial" w:cs="arial"/>
          <w:color w:val="000000"/>
          <w:sz w:val="20"/>
          <w:lang w:val="en-US" w:eastAsia="en-US" w:bidi="ar-SA"/>
        </w:rPr>
        <w:t xml:space="preserve"> the person in charge of the FRCC was obliged to ensure he was given regular meals of the type ordinarily served to inmates and access to health care, which the Manual specifies includes essential dental services. All of the Manual's criteria for the provision of dentures at the respondent's cost, as outlined above, were met on the evidence presented. Accordingly, I am satisfied that it was indefensible on the facts and the law for Mr. Alvarado to maintain the refusal to provide replacement dentures and the Decision should be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grant of prerogative relief is discretionary. The petitioner is about to be released from the FRCC and arguably no longer meets the Manual criteria for the provision of dentures because he no longer has a long period remaining on his sentence. Given the passage of time since his teeth were extracted, however, he also may no longer be eligible for the provision of denture supplements in the community, pursuant to s. 69 of the </w:t>
      </w:r>
      <w:r>
        <w:rPr>
          <w:rFonts w:ascii="arial" w:eastAsia="arial" w:hAnsi="arial" w:cs="arial"/>
          <w:i/>
          <w:color w:val="000000"/>
          <w:sz w:val="20"/>
          <w:lang w:val="en-US" w:eastAsia="en-US" w:bidi="ar-SA"/>
        </w:rPr>
        <w:t>Employment and Assistance Regulation</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B.C. Reg. 263/2002</w:t>
        </w:r>
      </w:hyperlink>
      <w:r>
        <w:rPr>
          <w:rFonts w:ascii="arial" w:eastAsia="arial" w:hAnsi="arial" w:cs="arial"/>
          <w:color w:val="000000"/>
          <w:sz w:val="20"/>
          <w:lang w:val="en-US" w:eastAsia="en-US" w:bidi="ar-SA"/>
        </w:rPr>
        <w:t xml:space="preserve">. In these circumstances, I conclude justice requires that I grant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compelling the respondent to provide the petitioner with replacement dentures as well as the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quashing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Fidler v. Burns Lake (Village), [2013] B.C.J. No. 1088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 2013; written submissions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received, April 19, 2013; written submissions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individual Defendants received, April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15991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Fidler, Plaintiff, and Corporation of the Village of Burns Lake, Jordan MacKellar, Brodie Ferris, Michael Esson, Tom Wamsteeker and Bob Purslow,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11"/>
      <w:bookmarkEnd w:id="79"/>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Particulars — Sufficiency — Judgments and orders — Summary judgments — To dismiss action — Motion by defendant Burns Lake for summary judgment allowed — Motion by individual defendants for order dismissing claims allowed in part — Fidler acquitted of assault charges based on self-defence — Claim against Burns Lake dismissed — Municipality had no role respecting policing — Claims against individual officers for assault, forceful confinement, trespass, illegal search and seizure, defamation and cruel and unusual punishment dismissed based on expiry of limitation period — Fidler's incapacitation and incarceration did not postpone limitation period — No factual basis for sexual assault claim — Fidler given 60 days to amend malicious prosecution claim to plead essential elements — Supreme Court Civil Rules, Rules 9-6 and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Extension, interruption, suspension and inapplicability — Disability — Expiry of limitation periods — Effect of — Motion by defendant Burns Lake for summary judgment allowed — Motion by individual defendants for order dismissing claims allowed in part — Fidler acquitted of assault charges based on self-defence — Claim against Burns Lake dismissed — Municipality had no role respecting policing — Claims against individual officers for assault, forceful confinement, trespass, illegal search and seizure, defamation and cruel and unusual punishment dismissed based on expiry of limitation period — Fidler's incapacitation and incarceration did not postpone limitation period — No factual basis for sexual assault claim — Fidler given 60 days to amend malicious prosecution claim to plead essential elements — Supreme Court Civil Rules, Rules 9-6 and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11"/>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Burns Lake for summary judgment. Motion by the individual defendants for an order dismissing the plaintiff's claims. Fidler was arrested on assault charges. He was subsequently acquitted on the basis that he acted in self-defence. He commenced a proceeding against the individual police officers which alleged numerous causes of action. Fidler brought a claim against Burns Lake on the basis that the municipality was vicariously liable for the conduct of the police officers.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8"/>
            <w:bookmarkEnd w:id="81"/>
            <w:r>
              <w:rPr>
                <w:rFonts w:ascii="arial" w:eastAsia="arial" w:hAnsi="arial" w:cs="arial"/>
                <w:color w:val="000000"/>
                <w:sz w:val="20"/>
                <w:lang w:val="en-US" w:eastAsia="en-US" w:bidi="ar-SA"/>
              </w:rPr>
              <w:t>HELD: The motion by Burns Lake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motion by the individual defendants was allowed in part. Due to its small size, Burns Lake had no role in its policing which was provided by the RCMP. Summary judgment was therefore granted and the claim against it was dismissed. The claims against the individual officers for assault, forceful confinement, trespass, illegal search and seizure, defamation and cruel and unusual punishment were commenced outside the two year limitation period. The identity of the defendants was known or knowable in 2006 and Fidler did not commence the claim until 2011. Fidler's alleged incapacitation and incarceration did not provide a basis to postpone the limitation period. He failed to provide sufficient evidence to substantiate the claim he was mentally incapacitated for a period of time. In any event, the claim was still out of time even if the period of alleged incapacity was factored in. The sexual assault pleading was struck because the facts did not support any sexual element to the alleged assault. Fidler failed to plead the elements of malicious prosecution. He was given 60 days to amend the malicious prosecution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10"/>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332" w:history="1">
        <w:r>
          <w:rPr>
            <w:rFonts w:ascii="arial" w:eastAsia="arial" w:hAnsi="arial" w:cs="arial"/>
            <w:i/>
            <w:color w:val="0077CC"/>
            <w:sz w:val="20"/>
            <w:u w:val="single"/>
            <w:shd w:val="clear" w:color="auto" w:fill="FFFFFF"/>
            <w:lang w:val="en-US" w:eastAsia="en-US" w:bidi="ar-SA"/>
          </w:rPr>
          <w:t>R.S.C. 1985, c. C-46, s. 88</w:t>
        </w:r>
      </w:hyperlink>
      <w:r>
        <w:rPr>
          <w:rFonts w:ascii="arial" w:eastAsia="arial" w:hAnsi="arial" w:cs="arial"/>
          <w:color w:val="000000"/>
          <w:sz w:val="20"/>
          <w:lang w:val="en-US" w:eastAsia="en-US" w:bidi="ar-SA"/>
        </w:rPr>
        <w:t>(1), s. 267(a), s. 268(2)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 s. 3(2)(b), s. 3(2)(d), s. 3(2)(f), s. 3(4)(k), s. 6(3), s. 6(4),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333" w:history="1">
        <w:r>
          <w:rPr>
            <w:rFonts w:ascii="arial" w:eastAsia="arial" w:hAnsi="arial" w:cs="arial"/>
            <w:i/>
            <w:color w:val="0077CC"/>
            <w:sz w:val="20"/>
            <w:u w:val="single"/>
            <w:shd w:val="clear" w:color="auto" w:fill="FFFFFF"/>
            <w:lang w:val="en-US" w:eastAsia="en-US" w:bidi="ar-SA"/>
          </w:rPr>
          <w:t>RSBC 1996, CHAPTER 367, s. 3</w:t>
        </w:r>
      </w:hyperlink>
      <w:r>
        <w:rPr>
          <w:rFonts w:ascii="arial" w:eastAsia="arial" w:hAnsi="arial" w:cs="arial"/>
          <w:color w:val="000000"/>
          <w:sz w:val="20"/>
          <w:lang w:val="en-US" w:eastAsia="en-US" w:bidi="ar-SA"/>
        </w:rPr>
        <w:t>(1), s. 14,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 Rule 9-6(4), Rule 9-6(5)(c) Rule 9-7, Rule 9-7(5), Rule 14-1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11"/>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Fidler: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Corporation of the Village of Burns Lake: R. Bortolin.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individual Defendants: E.L. Crocker.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1"/>
      <w:bookmarkEnd w:id="84"/>
      <w:r>
        <w:pict>
          <v:line id="_x0000_s1088"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R.D. PUNNETT J."/>
            <w:bookmarkEnd w:id="85"/>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against the Corporation of the Village of Burns Lake ("Burns Lake") and five members of the Royal Canadian Mounted Police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notice of civil claim fails to comply with the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relating to pleadings but it appears that the claim is for injuries arising from an alleged unlawful arrest and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Burns Lake applies for summary judgement pursuant to Rule 9-6(4) to have the claims against it dismissed on the basis that the claim is without merit in that it lacks any basis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individual co-defendants apply to have the claims against them dismissed but for different reasons. Their application is threefold: first that the pleadings disclose no cause of action and are unnecessary, scandalous, frivolous or vexatious, second that there is no genuine issue for trial, and finally that almost all of the claims of the plaintiff are statute barred. Their application is brought pursuant to Rule 9-5(1) (Scandalous, frivolous or vexatious matters), Rule 9-6 (Summary Judgment), Rule 9-7 (Summary Trial)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there are two separate applications are before me I propose to deal with both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arrested on October 19, 2006 and charged as follows: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1: that he committed aggravated assault of George Betemps, contrary to s. 268(2)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2: that in committing the assault he used a weapon, to wit, a pellet pistol, contrary to s. 267(a)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3: that in committing the assault he used a weapon, to wit, a stick, contrary to s. 267(a)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4: that he did carry or have in his possession a weapon, a pellet pistol, for a purpose dangerous to the public peace or for the purpose of committing an offence contrary to s. 88(1)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was acquitted of all charges on June 2, 2009 on the basis of self-defence. He now makes numerous claims related to his arrest. At the outset I note the difficulty of characterizing some of the allegations due to the improperly pleaded claims. I am satisfied however that the characterization that follows accurately reflects what the plaintiff intended to allege and advance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claims assault and/or battery, sexual assault, kidnapping, forceful confinement (false imprisonment),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(violation of the right to liberty, to be free from cruel and unusual punishment, and to equal protection and due process of the law), unreasonable search and seizure, trespass, malicious prosecution, defamation, abuse of process and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further alleges that Burns Lake is vicariously liable for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address the application of Burns Lake and then the application of the five individual RCMP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Burns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claims are against Burns Lake as the employer of the officers, responsible for their training, supervision, discipline, hiring and conduct. He also alleges that Burns Lake is liable for a "tacit and implicit authorization, adoption, ratification, approval and acquiescence in" the acts of the defendant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Burns Lake applies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9-6(4) and 14-1 for dismissal of the plaintiff's claim against the corporation. It states that it is not the employer of the co-defendant officers nor does it have a role in their hiring, training, supervision, discipline or conduct. It also states that because its population is less than 5000 people, it is policed by the RCMP pursuant to an agreement between the federal and provincial governments, an agreement that Burns Lake is not party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does not contradict the defendant's evidence that the population of Burns Lake in 2006 was approximately 3,649, or the evidence that Burns Lake never had a role in training, supervising, disciplining or hiring the co-defendants. There is no agreement alleged nor is there an agreement between Burns Lake and the provincial or federal government giving Burns Lake any role in the RCMP's policing of Burns Lake.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since Burns Lake had at all material times less than 5,000 people, the provincial government was responsible for providing policing and law enforcement services in Burns Lake and the surrounding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(1) The government must provide policing and law enforcement services for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municipalities with a population of up to 5,000 persons;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gives authority for the RCMP to be the provincial police force if the provincial and federal government enter into an agreement whereby the RCMP is deemed to be the provincial police force and its members are deemed to be provincial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 1992 the British Columbia government entered into an agreement with the federal government making the RCMP the provincial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agreement places no control over policing in the hands of municipalities with a population of less than 5,000. Article 3.1 of the agreement provides that the internal management of the provincial RCMP shall remain under the control of Canada. It further states that the minimum standard of policing shall be set by the Commissioner of the RCMP, in consultation with the provincial Minister responsible for policing services within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15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states that a municipality with a population greater than 5,000 must provide policing and law enforcement in the municipality. The municipality is jointly and severely liable for torts committed by any of its "municipal constables" if the tort is committed in the performance of that persons duties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there is no similar requirement for municipalities with a population under 5,000 people to provide policing. Given Burns Lake is a community of less than 5000 individuals; the constables named as co-defendants are provincial constables not municipal constables. As a result the corporation is not vicariously liable for the actions of provincial constables. Such liability lies with the Province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 11); (</w:t>
      </w:r>
      <w:r>
        <w:rPr>
          <w:rFonts w:ascii="arial" w:eastAsia="arial" w:hAnsi="arial" w:cs="arial"/>
          <w:i/>
          <w:color w:val="000000"/>
          <w:sz w:val="20"/>
          <w:lang w:val="en-US" w:eastAsia="en-US" w:bidi="ar-SA"/>
        </w:rPr>
        <w:t>Quinn v. Dubnyk,</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2011 BCSC 792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the plaintiff has no basis for a claim against Burns Lake and the action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now turn to the application of the individual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noted earlier, the individual defendants advance three challenges to the notice of civil claim. The first seeks to have the application struck due to deficient pleadings, the second seeks summary dismissal of the claim and the third to have the majority of the claims dismissed as having been commenced outside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as the limitation issue is determinative of the majority of the claims I will address it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submit that all of the claims except that of malicious prosecution are statute barred by virtue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They submit as well that the two-year limitation period is not postponed pursuant to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running of time for the two-year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generally starts on the date the injury or damage was sustained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 at para. 82). The cause of action accrues when the plaintiff is aware that damage has occurred and knows who the tortfeasor is (</w:t>
      </w:r>
      <w:r>
        <w:rPr>
          <w:rFonts w:ascii="arial" w:eastAsia="arial" w:hAnsi="arial" w:cs="arial"/>
          <w:i/>
          <w:color w:val="000000"/>
          <w:sz w:val="20"/>
          <w:lang w:val="en-US" w:eastAsia="en-US" w:bidi="ar-SA"/>
        </w:rPr>
        <w:t>Craig v. Insurance Corporation of British Columbia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2005 BCCA 275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there is no issue regarding "discoverability". That is, it was clear to the plaintiff when his claim arose. The limitation period therefore began to accrue on the dates of the incident in question, namely October 19 and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allegations of assault, kidnapping, forceful confinement, trespass, illegal search and seizure, defamation and cruel and unusual punishment are all subject to a two-year limitation period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 3(2)(a), (b), (d) and (f)) as are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alleged including those relating to s. 7 and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Bush v. City of Vancouver et al</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The specific paragraphs raising these allegations are paras. 8-22, 23-32 and 33-45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Unless the running of time for these causes of action was postponed they are statue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Section 6(3)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limitation periods set by this Act for any of the following actions is postponed as provided in subsection (4):</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Since the claims for trespass, forceful confinement and defamation are not referred to in s. 6(3) they are not capable of postponement. In light of my conclusions in this matter I need not address whether the claims for unlawful arrest and unreasonable search and seizure are capable of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the limitation period was postponed due to events related to his mental health and a period of incarceration occurring after the fall of 2006. He asserts the postponement was of sufficient length that this proceeding was commenced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Rule 9-6(5)(c)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on a summary judgment application, the court "if satisfied that the only genuine issue is a question of law, may determine the question and pronounce judgment accordingly, ...". The initial issue therefore is whether the question of whether an action is statute barred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a claim that was statute barred was dismissed pursuant to now Rule 9-6(4) because the relevant facts were clear on the issue of postponement. It was not however held to be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xml:space="preserve"> at paras. 25-26, Mr. Justice Savage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On an application under Rule 9-6(4), matters of fact cannot be weighed and inferences from the facts must be viewed in a light most favourable to the Plaintiffs: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(1990), 71 D.L.R. (4th) 464</w:t>
        </w:r>
      </w:hyperlink>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47 B.C.L.R. (2d) 127</w:t>
        </w:r>
      </w:hyperlink>
      <w:r>
        <w:rPr>
          <w:rFonts w:ascii="arial" w:eastAsia="arial" w:hAnsi="arial" w:cs="arial"/>
          <w:color w:val="000000"/>
          <w:sz w:val="20"/>
          <w:lang w:val="en-US" w:eastAsia="en-US" w:bidi="ar-SA"/>
        </w:rPr>
        <w:t xml:space="preserve">. Arguably, it is a question of fact in each case whether the Plaintiffs' circumstances justify the application of the postponement provisions: </w:t>
      </w:r>
      <w:r>
        <w:rPr>
          <w:rFonts w:ascii="arial" w:eastAsia="arial" w:hAnsi="arial" w:cs="arial"/>
          <w:i/>
          <w:color w:val="000000"/>
          <w:sz w:val="20"/>
          <w:lang w:val="en-US" w:eastAsia="en-US" w:bidi="ar-SA"/>
        </w:rPr>
        <w:t>Bush v. City of Vancouver et al.</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xml:space="preserve"> at para. 40. Matters of fact or mixed fact and law are more properly dealt with by applications under Rule 9-7, if they are to be dealt with on a summary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the circumstances, I am unable to conclude, as a matter of law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on the question of whether the limitation period for the misfeasance in office claim is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Walsh v. BDO Dunwood LLP</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2013 BCSC 392</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 start by recognizing that the question of whether a limitation period has been postponed is largely a fact-based inquiry; see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2008 BCCA 278</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81 B.C.L.R. (4th)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Weldon v. Agrium Inc.,</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2012 BCCA 53</w:t>
        </w:r>
      </w:hyperlink>
      <w:r>
        <w:rPr>
          <w:rFonts w:ascii="arial" w:eastAsia="arial" w:hAnsi="arial" w:cs="arial"/>
          <w:color w:val="000000"/>
          <w:sz w:val="20"/>
          <w:lang w:val="en-US" w:eastAsia="en-US" w:bidi="ar-SA"/>
        </w:rPr>
        <w:t xml:space="preserve"> at para. 24, </w:t>
      </w:r>
      <w:hyperlink r:id="rId344" w:history="1">
        <w:r>
          <w:rPr>
            <w:rFonts w:ascii="arial" w:eastAsia="arial" w:hAnsi="arial" w:cs="arial"/>
            <w:i/>
            <w:color w:val="0077CC"/>
            <w:sz w:val="20"/>
            <w:u w:val="single"/>
            <w:shd w:val="clear" w:color="auto" w:fill="FFFFFF"/>
            <w:lang w:val="en-US" w:eastAsia="en-US" w:bidi="ar-SA"/>
          </w:rPr>
          <w:t>27 B.C.L.R. (5th) 101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Ferrara</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instance the application cannot be disposed of under Rule 9-6 as it is not limited to a question of law. Issues of fact are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Rule 9-7(5) permits a party on a summary trial application to tender evidence in a number of ways. Under a summary trial application matters of fact or mixed fact and law can be dealt with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question is whether, unlike in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Walsh</w:t>
      </w:r>
      <w:r>
        <w:rPr>
          <w:rFonts w:ascii="arial" w:eastAsia="arial" w:hAnsi="arial" w:cs="arial"/>
          <w:color w:val="000000"/>
          <w:sz w:val="20"/>
          <w:lang w:val="en-US" w:eastAsia="en-US" w:bidi="ar-SA"/>
        </w:rPr>
        <w:t>, the materials filed in this instance permit the necessary factual findings required to consider the postponement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earlier the actions of the defendants that are the subject of this action occurred on October 19 and 20, 2006. The notice of civil claim was filed on April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that the time does not begin to run until, as summarized by Mr. Justice Tysoe (as he then was)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onus is on the plaintiff to establish that if at least one of these conditions is not made out in order to succeed on the issue of postponement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the plaintiff alleges he did not know who the individual officers were (arguing they failed to identify themselves at the time of his arrest and were not identified until trial), he provides no rational explanation for failing to take reasonable steps and advice to determine who the arresting officers were. Clearly a simple inquiry of the RCMP or the Crown would have produced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note that on November 2, 2006 he commenced action S067095 out of the Vancouver Registry of this Court against the Burns Lake RCMP, John Doe #1 and John Doe #2. The statement of claim in that action relates to the incident in question in this action and advances claims that appear to mirror the claims in this action. In addition on December 22, 2008 he commenced a second action, S068381 also out of the Vancouver Registry, in which he was the plaintiff and the defendant was the Ministry of Public Safety and Solicitor General. That writ of summons describes the claim as follows: "abuse of process, aggravated assault, robbery, trespass, slander, reckless disregard, mental anguish, pain and suffering, torture, immoral conduct [and] injuries" apparently relating to the same incident as the first action and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respect to the first action, S067096, the Department of Justice wrote to the plaintiff on November 14, 2006 advising him that the RCMP was not a legal entity, referring him to case authorities for that proposition, and recommending that he seek legal advice if he wished to pursue the matter noting the tort or torts alleged were unclear. The letter also suggested that he review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appears the plaintiff took no further steps with respect to either action. I make no findings respecting any remedies the plaintiff may or may not have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earlier the plaintiff's primary submission respecting the limitation issue is that the time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submits the postponement was due to a period of incarceration at the Forensic Psychiatric Hospital in Port Coquitlam, British Columbia in the spring of 2007 and the fall of 2008 as well as a period of custody, the reasons for and when, where and for how long are not in evidence although in oral submissions the plaintiff stated it was for a period of 10 months. He says as well that the resulting after effects of the medication administered to him while under treatment rendered him incapable of dealing with his claims against Burns Lake and the RCMP officers. He also refers to being forced to flee his home for several months due to alleged actions of the RCMP. However, other than limited documentation showing his time at the Forensic Psychiatric Hospital he presented no admissible evidence relating to these explanations in order to justify the postponement of the limitation period. In particular, there is no expert evidence addressing his mental capacity in 2007 and 2008. Indeed even if he was incapacitated or incarcerated during the periods he alleges such that the limitation period was postponed, commencement of the action in 2011 would still be outside the applicable limitation period for the causes of action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Court's approach to the test for extending a limitation period is set out by Madam Justice McLachlin (as she then was), for the Court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scheme and purpose of the Act leads me to conclude that the appropriate test is a variant of the second approach. Leaving aside the requirement that the identity of the defendant must be known to the plaintiff and that the provisions of s. 6(4)(a) must also be satisfied before the running of time is postponed, it is my view that the proper interpretation of s. 6(4)(b) may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circumstances were serious, significant, and compelling. Purely tactical concerns have no place in this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This approach recognizes the special problems injured persons may encounter and the intense stresses and strains involved in litigation. It recognizes that in some cases, the plaintiff's own circumstances and interests may be so compelling that it cannot be reasonably said that he or she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bring an action within the prescribed limitation period. Finally, it makes practical sense. People ought to be encouraged to take steps short of litigation to deal with their problems. They should not be compelled to sue when to do so runs counter to a vital interest, such as the need to maintain their health in the face of a life-threatening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does not meet the criteria noted in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for postponement of his claims. The claims advanced were all matters within the knowledge of the plaintiff on October 19, 2006 and the identities of the defendants were either known or knowable at that time. He was also well aware he could sue unknown individuals. The plaintiff should have taken the appropriate advice and did not, despite the Department of Justice having recommended he do so. I do not accept the plaintiff's written submission for failing to do so in which he stated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notes that it is not reasonable for the plaintiff to seek the advice of lawyers when supreme court justices and law school professors are reporting that ninety percent of them are incompetent. It is also not reasonable for the plaintiff to seek advice from individuals (i.e., lawyers) when the living God has warned him that he ought to avoid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also warned that the local lawyers had been asked to notify the RCMP if the plaintiff approached them for advice, which meant another violent attack against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not be required to seek out or trust the advice of individuals who practice a profession that his God is not at all pleased with, and who makes very negative comments about in His Word.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 result the events that the plaintiff alludes to subsequent to the fall of 2006, even if they were established on the evidence, are irrelevant to the issue of postponement given the initiation of the Vancouver actions established that the plaintiff had the requisite knowledge, knew that it was the RCMP members he was suing, and reasonably should have taken the requisite advice and either reinitiated or amended one of the Vancouver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I dismiss the claims for assault, kidnapping, forceful confinement, trespass, illegal search and seizure, defamation and cruel and unusual punishment set out in the paras. 8-22, 23-32, and 33-45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leaves two remaining claims, those being the allegation of sexual assault and the allegation of malicious prosecution. With respect to the latter it is not disputed that the notice of civil claim filed on April 29, 2011 in this action was filed in time given the criminal proceedings. However it is disputed that the allegation of malicious prosecution is properly pleaded. The allegation of sexual assault raises two issues: do the pleadings plead the issue of a sexual assault and, if they do, what limitation period applies? I shall address the limitation issue now with the pleading issues to be addressed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allegation of assault he alleges they punched him in the genitals and as a result also committed a sexual assault that he submits is not subject to the two-year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that a sexual assault is not governed by a limitation period. (s. 3(4)(k), </w:t>
      </w:r>
      <w:r>
        <w:rPr>
          <w:rFonts w:ascii="arial" w:eastAsia="arial" w:hAnsi="arial" w:cs="arial"/>
          <w:i/>
          <w:color w:val="000000"/>
          <w:sz w:val="20"/>
          <w:lang w:val="en-US" w:eastAsia="en-US" w:bidi="ar-SA"/>
        </w:rPr>
        <w:t>(D.E. (Guardian ad litem) v. British Columbia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2005 BCCA 134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result the plaintiff's claims for malicious prosecution and sexual assault were not out of time when this action was commenced. This leads to a consideration of the pleadings and the defendants'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seek to strike the plaintiff's pleadings pursuant to Rule 9-5(1) as disclosing no reasonable claim or as unnecessary, scandalous, frivolous or vexatious. Such an application assumes that the facts alleged can be proven. It is only if no reasonable cause of action is disclosed that the pleadings should be struck.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the Supreme Court of Canada said this regarding the striking of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At para. 13 in </w:t>
      </w:r>
      <w:r>
        <w:rPr>
          <w:rFonts w:ascii="arial" w:eastAsia="arial" w:hAnsi="arial" w:cs="arial"/>
          <w:i/>
          <w:color w:val="000000"/>
          <w:sz w:val="20"/>
          <w:lang w:val="en-US" w:eastAsia="en-US" w:bidi="ar-SA"/>
        </w:rPr>
        <w:t>Sime ,</w:t>
      </w:r>
      <w:r>
        <w:rPr>
          <w:rFonts w:ascii="arial" w:eastAsia="arial" w:hAnsi="arial" w:cs="arial"/>
          <w:color w:val="000000"/>
          <w:sz w:val="20"/>
          <w:lang w:val="en-US" w:eastAsia="en-US" w:bidi="ar-SA"/>
        </w:rPr>
        <w:t xml:space="preserve"> Mr. Justice Powers accepted the following propositions from the defendants'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Madam Justice Garson summarizes the law on Sub-Rules 19(24(b)(c) and (d) and extracts general propositions from the authorities concerning the circumstances under which pleadings will be struck. A pleading will be struck out if:</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w:t>
      </w:r>
      <w:r>
        <w:rPr>
          <w:rFonts w:ascii="arial" w:eastAsia="arial" w:hAnsi="arial" w:cs="arial"/>
          <w:i/>
          <w:color w:val="000000"/>
          <w:sz w:val="20"/>
          <w:lang w:val="en-US" w:eastAsia="en-US" w:bidi="ar-SA"/>
        </w:rPr>
        <w:t>Citizens for Foreign aid Reform</w:t>
      </w:r>
      <w:r>
        <w:rPr>
          <w:rFonts w:ascii="arial" w:eastAsia="arial" w:hAnsi="arial" w:cs="arial"/>
          <w:color w:val="000000"/>
          <w:sz w:val="20"/>
          <w:lang w:val="en-US" w:eastAsia="en-US" w:bidi="ar-SA"/>
        </w:rPr>
        <w:t>, supra);</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(Citizens for foreign aid Reform, supra);</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[2000] B.C.J. No. 84</w:t>
        </w:r>
      </w:hyperlink>
      <w:r>
        <w:rPr>
          <w:rFonts w:ascii="arial" w:eastAsia="arial" w:hAnsi="arial" w:cs="arial"/>
          <w:color w:val="000000"/>
          <w:sz w:val="20"/>
          <w:lang w:val="en-US" w:eastAsia="en-US" w:bidi="ar-SA"/>
        </w:rPr>
        <w: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i/>
          <w:color w:val="000000"/>
          <w:sz w:val="20"/>
          <w:lang w:val="en-US" w:eastAsia="en-US" w:bidi="ar-SA"/>
        </w:rPr>
        <w:t>Borsato v. Basra, supra</w:t>
      </w:r>
      <w:r>
        <w:rPr>
          <w:rFonts w:ascii="arial" w:eastAsia="arial" w:hAnsi="arial" w:cs="arial"/>
          <w:color w:val="000000"/>
          <w:sz w:val="20"/>
          <w:lang w:val="en-US" w:eastAsia="en-US" w:bidi="ar-SA"/>
        </w:rPr>
        <w: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is brought for an improper purpose, particularly the harassment and oppression of the defendants (Ebrahim v. Ebrahim, </w:t>
      </w:r>
      <w:hyperlink r:id="rId165"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17</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particularize claims in defamation may amount to a failure to disclose a reasonable claim under 19(24)(a). Irrelevant allegations against a defendant may be struck under 19(24)(b) and (c) as unnecessary, scandalous, frivolous or vexatious.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[1992] B.C.J No. 86</w:t>
        </w:r>
      </w:hyperlink>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19(24)(d) allows pleadings to be struck where they are an abuse of the process of the court. Abuse of process is a flexible doctrine that allows the court to prevent a claim from proceeding where it "violates such principles as judicial economy, consistency, finality and the integrity of the administration of justice".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9, citing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(S.C.C.) para. 37</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Claiming the same relief in two separate actions is vexatious and an abuse of process.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Great Pacific Contracting Ltd. V. Harwyn Properties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29 B.C.L.R. 145</w:t>
        </w:r>
      </w:hyperlink>
      <w:r>
        <w:rPr>
          <w:rFonts w:ascii="arial" w:eastAsia="arial" w:hAnsi="arial" w:cs="arial"/>
          <w:color w:val="000000"/>
          <w:sz w:val="20"/>
          <w:lang w:val="en-US" w:eastAsia="en-US" w:bidi="ar-SA"/>
        </w:rPr>
        <w:t>, 21 C.P.C. 280, paras. 11-13</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that are so prolix or confusing that it is difficult, if not impossible, to understand the case to be met should be struck, since they prevent the Defendant from knowing the case it has to meet. Amendment will be permitted for those claims that are capable of being remedied, but proposed claims which are without legal foundation should be dismissed.</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paras. 18, 19 and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notice of civil claim filed April 29, 2011 consists of 67 paragraphs and subparagraphs and 18 pages quoting liberally from the </w:t>
      </w:r>
      <w:r>
        <w:rPr>
          <w:rFonts w:ascii="arial" w:eastAsia="arial" w:hAnsi="arial" w:cs="arial"/>
          <w:i/>
          <w:color w:val="000000"/>
          <w:sz w:val="20"/>
          <w:lang w:val="en-US" w:eastAsia="en-US" w:bidi="ar-SA"/>
        </w:rPr>
        <w:t>Magna Carta</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1689 Bill of Right</w:t>
      </w:r>
      <w:r>
        <w:rPr>
          <w:rFonts w:ascii="arial" w:eastAsia="arial" w:hAnsi="arial" w:cs="arial"/>
          <w:color w:val="000000"/>
          <w:sz w:val="20"/>
          <w:lang w:val="en-US" w:eastAsia="en-US" w:bidi="ar-SA"/>
        </w:rPr>
        <w:t xml:space="preserve"> s", the "</w:t>
      </w:r>
      <w:r>
        <w:rPr>
          <w:rFonts w:ascii="arial" w:eastAsia="arial" w:hAnsi="arial" w:cs="arial"/>
          <w:i/>
          <w:color w:val="000000"/>
          <w:sz w:val="20"/>
          <w:lang w:val="en-US" w:eastAsia="en-US" w:bidi="ar-SA"/>
        </w:rPr>
        <w:t>Petition of Rights 1628</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The response of Burns Lake is a mere six pages yet has prompted the plaintiff to file a reply consisting of 295 pages plus another 150 or so pages of what he describes as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Some examples from the plaintiff's notice of civil claim are noted by the defendants and will suffice to establish its deficiencies: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9 -- wherein the plaintiff claims the defendants MacKellar and Ferris did "deceptively sneak" and that they "banged violently and furiously";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12 -- wherein the plaintiff describes the defendants MacKellar and Ferris as the "kidnapping defendants";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20 -- wherein the plaintiff describes the defendants MacKellar and Ferris' employers as "a standing army known as the Royal Canadian Mounted Police";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29 -- wherein the plaintiff refers to the defendant as stating in an evil tone, "Don't fucking look at me".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29(iv) -- wherein the plaintiff describes his position as "execution style" and refers to an alleged "murder" not in any way connected to the case at hand and refers to the defendants as the "terrorist kidnapping defendants";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30 -- wherein the plaintiff again describes the defendants MacKellar and Ferris' employers as "a standing army known as the Royal Canadian Mounted Police";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34 -- wherein the plaintiff describes the defendants breaching the plaintiffs "god-given" rights and described the defendants' offering the plaintiff a "despicable contract offer";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37 -- wherein the plaintiff describes the defendants as "thieves", describes his right to his property as "granted by God, the Creator of the universe ... alleged to be illegal under de facto law" then guaranteed";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38 -- wherein the plaintiff again refers to the defendants employer as a "standing army known as the Royal Canadian Mounted Police during times of peace in the commonwealth Dominion of Canada";</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41 -- wherein the plaintiff describes the defendant Wamsteeker's request that the plaintiff stay in his presence at all times as a "disgusting absurdity";</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45 -- wherein the plaintiff describes the actions of the defendants as a deprivation of "God-given and constitutionally given rights";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46 -- wherein the plaintiff refers to the defendants employers as a "standing army known as the Royal Canadian Mounted Police during times of peace in the commonwealth Dominion of Canada";</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49 -- wherein the plaintiff describes the RCMP "militarily trained and a militarily punished,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"police" presence which resembles and whose actions are those of a standing army rather than legitimate police", the plaintiff further describes the RCMP members in Burns Lake as a group of "dumbed down (re: </w:t>
      </w:r>
      <w:r>
        <w:rPr>
          <w:rFonts w:ascii="arial" w:eastAsia="arial" w:hAnsi="arial" w:cs="arial"/>
          <w:i/>
          <w:color w:val="000000"/>
          <w:sz w:val="20"/>
          <w:lang w:val="en-US" w:eastAsia="en-US" w:bidi="ar-SA"/>
        </w:rPr>
        <w:t>public school training)</w:t>
      </w:r>
      <w:r>
        <w:rPr>
          <w:rFonts w:ascii="arial" w:eastAsia="arial" w:hAnsi="arial" w:cs="arial"/>
          <w:color w:val="000000"/>
          <w:sz w:val="20"/>
          <w:lang w:val="en-US" w:eastAsia="en-US" w:bidi="ar-SA"/>
        </w:rPr>
        <w:t xml:space="preserve"> and armed individuals who have no knowledge of the laws of the Dominion of Canada (which recognizes God as the supreme authority), which constitutes a dangerous threat to the well-being of every individual who exercises his/her God-given and constitutionally guaranteed rights anywhere near an R.C.M.P. member", the plaintiff goes on to say that the "military "police" (R.C.M.P.) members do terrorize on a daily basis in the name of enforcing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and constitutionally invalid law";</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51 -- wherein the plaintiff states that the defendant, the Village of Burns Lake, is a "first stop" for RCMP recruits "who arrive untrained [except for military training], unknowledgable [except for military training], and very incapable of doing any real police work through their ignorance of the law and lack of proper training" and that they "cause many more problems than they ever solve" the plaintiff claims that there is an over abundance of RCMP officers and that it appears "to be for the use and purpose of continuing Canada's theft of land, and the secret </w:t>
      </w:r>
      <w:r>
        <w:rPr>
          <w:rFonts w:ascii="arial" w:eastAsia="arial" w:hAnsi="arial" w:cs="arial"/>
          <w:i/>
          <w:color w:val="000000"/>
          <w:sz w:val="20"/>
          <w:lang w:val="en-US" w:eastAsia="en-US" w:bidi="ar-SA"/>
        </w:rPr>
        <w:t>[not secret any longer]</w:t>
      </w:r>
      <w:r>
        <w:rPr>
          <w:rFonts w:ascii="arial" w:eastAsia="arial" w:hAnsi="arial" w:cs="arial"/>
          <w:color w:val="000000"/>
          <w:sz w:val="20"/>
          <w:lang w:val="en-US" w:eastAsia="en-US" w:bidi="ar-SA"/>
        </w:rPr>
        <w:t xml:space="preserve"> genocide of the indigenous peoples of the land whom God gave dominion to, and for the purpose of proceeding with the protocols agenda for a new world order (one world government) under the United Nations (which when looking at the facts, is a satanic cult);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52 -- wherein the plaintiff describes the acts of the defendants as carried out under custom, practice, policy, rules, regulations and colors of (de facto) state and federal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I am wrong in my findings that the majority of the claims are statute barred in my view the pleadings suffer from numerous defects. They are unnecessary and embarrassing in that it is difficult to understand what is pleaded and much of what is pleaded is irrelevant to the real issues. They are also prolix and confusing, contain excessive pleading of evidence, argument and opinion, and require such extensive amendment that complete redrafting is required. The reply, in addition to similar infringements of the rules of pleadings, is largely incomprehensible.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the allegation of sexual assault the notice of civil claim simply states that the plaintiff was struck on his "stomach, ribs and genitals". While that is an allegation of assault it is not an allegation of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sexual assault is not established simply by "contact with specific areas of the human anatomy" (</w:t>
      </w:r>
      <w:r>
        <w:rPr>
          <w:rFonts w:ascii="arial" w:eastAsia="arial" w:hAnsi="arial" w:cs="arial"/>
          <w:i/>
          <w:color w:val="000000"/>
          <w:sz w:val="20"/>
          <w:lang w:val="en-US" w:eastAsia="en-US" w:bidi="ar-SA"/>
        </w:rPr>
        <w:t>R. v. Chase</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(1987), 37 C.C.C. (3d) 97</w:t>
        </w:r>
      </w:hyperlink>
      <w:r>
        <w:rPr>
          <w:rFonts w:ascii="arial" w:eastAsia="arial" w:hAnsi="arial" w:cs="arial"/>
          <w:color w:val="000000"/>
          <w:sz w:val="20"/>
          <w:lang w:val="en-US" w:eastAsia="en-US" w:bidi="ar-SA"/>
        </w:rPr>
        <w:t xml:space="preserve"> at p. 102). Mr. Justice McIntyre for the Court at pp. 103-104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Sexual assault is an assault within any one of the definitions of that concept in s. 244(1)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is committed in circumstances of a sexual nature, such that the sexual integrity of the victim is violated. The test to be applied in determining whether the impugned conduct has the requisite sexual nature is an objective one: "Viewed in the light of all the circumstances, is the sexual or carnal context of the assault visible to a reasonable observe[r]?" (</w:t>
      </w:r>
      <w:r>
        <w:rPr>
          <w:rFonts w:ascii="arial" w:eastAsia="arial" w:hAnsi="arial" w:cs="arial"/>
          <w:i/>
          <w:color w:val="000000"/>
          <w:sz w:val="20"/>
          <w:lang w:val="en-US" w:eastAsia="en-US" w:bidi="ar-SA"/>
        </w:rPr>
        <w:t xml:space="preserve">Taylor, </w:t>
      </w:r>
      <w:hyperlink r:id="rId351" w:history="1">
        <w:r>
          <w:rPr>
            <w:rFonts w:ascii="arial" w:eastAsia="arial" w:hAnsi="arial" w:cs="arial"/>
            <w:i/>
            <w:color w:val="0077CC"/>
            <w:sz w:val="20"/>
            <w:u w:val="single"/>
            <w:shd w:val="clear" w:color="auto" w:fill="FFFFFF"/>
            <w:lang w:val="en-US" w:eastAsia="en-US" w:bidi="ar-SA"/>
          </w:rPr>
          <w:t>[1985] A.J. No. 821</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Laycraft C.J.A., at p. 162 C.C.C., p. 269 C.R.). The part of the body touched, the nature of the contact, the situation in which it occurred, the words and gestures accompanying the act, and all other circumstances surrounding the conduct, including threats which may or may not be accompanied by force, will be relevant: see S.J. Usprich, "A New Crime in Old Battles: Definitional Problems with Sexual Assault" 29 Crim. L.Q. 200, at p. 204. The intent or purpose of the person committing the act, to the extent that this may appear from the evidence may also be a factor in considering whether the conduct is sexual. If the motive of the accused is sexual gratification, to the extent that this may appear from the evidence it may be a factor in determining whether the conduct is sexual. It must be emphasized, however, that the existence of such a motive is simply one of many factors to be considered, the importance of which will vary depending on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Ross v. British Columbia (Public Safety</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2009 BCSC 1811</w:t>
        </w:r>
      </w:hyperlink>
      <w:r>
        <w:rPr>
          <w:rFonts w:ascii="arial" w:eastAsia="arial" w:hAnsi="arial" w:cs="arial"/>
          <w:color w:val="000000"/>
          <w:sz w:val="20"/>
          <w:lang w:val="en-US" w:eastAsia="en-US" w:bidi="ar-SA"/>
        </w:rPr>
        <w:t>, Mr. Justice Schultes summarized the test for striking a pleading under the then Rule 19(24)(a)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 court may only strike a statement of claim pursuant to Rule 19(24)(a) when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[1990] S.C.J. No. 93</w:t>
        </w:r>
      </w:hyperlink>
      <w:r>
        <w:rPr>
          <w:rFonts w:ascii="arial" w:eastAsia="arial" w:hAnsi="arial" w:cs="arial"/>
          <w:color w:val="000000"/>
          <w:sz w:val="20"/>
          <w:lang w:val="en-US" w:eastAsia="en-US" w:bidi="ar-SA"/>
        </w:rPr>
        <w:t xml:space="preserve"> at paragraph 33. In determining whether this test has been met the court must assume that the facts in the statement of claim are true and that the case for the plaintiff is taken at its highest: </w:t>
      </w:r>
      <w:r>
        <w:rPr>
          <w:rFonts w:ascii="arial" w:eastAsia="arial" w:hAnsi="arial" w:cs="arial"/>
          <w:i/>
          <w:color w:val="000000"/>
          <w:sz w:val="20"/>
          <w:lang w:val="en-US" w:eastAsia="en-US" w:bidi="ar-SA"/>
        </w:rPr>
        <w:t>Canadian Bar Association v. British Columbia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76 B.C.L.R. (4th) 48</w:t>
        </w:r>
      </w:hyperlink>
      <w:r>
        <w:rPr>
          <w:rFonts w:ascii="arial" w:eastAsia="arial" w:hAnsi="arial" w:cs="arial"/>
          <w:color w:val="000000"/>
          <w:sz w:val="20"/>
          <w:lang w:val="en-US" w:eastAsia="en-US" w:bidi="ar-SA"/>
        </w:rPr>
        <w:t xml:space="preserve"> (C.A.). However, the court is not required to assume the truth of allegations that are incapable of proof: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As long as the pleadings disclose a triable issue, either as it exists or as it may be amended, the issue should go to trial: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34. A court is obliged to read the statement of claim as generously as possible and to accommodate any inadequacies in the form of the allegations which are merely the result of drafting deficiencies: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at page 451. This is particularly important in the case of a self-represented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Pursuant to Rule 19(27), no evidence is admissible in an application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pleadings fail to plead any facts to establish a sexual motive nor other facts in support of such a plea. Indeed, despite the voluminous information contained in the materials before the court the material facts are completely absent. This is not in my view simply a drafting deficiency. The allegation of sexual assault is therefore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claim for malicious prosecution, at best it only appears that it is a claim the plaintiff wishes to bring. The pleadings fail to plead the four elements required for such a claim. That is, the pleadings fail to state the following:</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must have terminated in favour of the plaintiff;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objectively reasonable and probable grounds to believe that proof beyond a reasonable doubt could be made out in a court of law;</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initiated and/or continued for an improper purpose or actuated by malice.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Maizga v. Kvello Estate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[2009] 3 S.C.R. 339</w:t>
        </w:r>
      </w:hyperlink>
      <w:r>
        <w:rPr>
          <w:rFonts w:ascii="arial" w:eastAsia="arial" w:hAnsi="arial" w:cs="arial"/>
          <w:color w:val="000000"/>
          <w:sz w:val="20"/>
          <w:lang w:val="en-US" w:eastAsia="en-US" w:bidi="ar-SA"/>
        </w:rPr>
        <w:t xml:space="preserve">, paras. 52, 56, 79-81;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result I give the plaintiff 60 days to amend the pleadings to particularize the pleading of malicious prosecution. Given the general state of the pleadings and the results of this application, amendment must be made by way of filing of an entirely new notice of civil claim. If he fails to do so the claim for malicious prosecution is dismissed. If the new pleadings are deficient the defendants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requested, if the parties are unable to agree on costs they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Global Internet Management Ltd. v. McLeod, [2003] B.C.J. No. 969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 and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S026251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946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Global Internet Management Ltd. and Global Internet Marketing Inc. doing business as Cybux, plaintiffs, and George Alexander McLeod, Dana M. Woods, William Schroeder, C. Davie Rae, Sebring Technologies Corp. and Mybux Systems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Injunctions — Interlocutory or interim injunctions — Requirement of strong prima facie case or appearance of right — Delay — Requirement of irreparable injury — What constitutes — Sufficiency of damages in lieu of injunction — Where damages not adequate — Balance of convenience — Equity — Fiduciary or confidential relationships.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2"/>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Global Internet Management for an interlocutory injunction to restrain the defendants, McLeod, Sebring Technologies and Mybux Systems, from carrying on similar business activities. Global marketed a secure pre-paid electronic payment card, which enabled users to make purchases over the Internet, known as the Cybux card. It hired McLeod, who assumed an integral role in the business. Sebring was retained to develop the necessary software. Confidentiality agreements applied to McLeod and Sebring. Global pursued high schools as a potential market. McLeod and Sebring ended their relationship with Global because of financial disagreements. McLeod incorporated the defendant, Mybux, on June 10, 2002. Its business included an on-line pre-paid payment card that used software developed by Sebring. Mybux also targeted the school market. Global discovered Mybux's existence on September 24. It commenced this action on November 13 and brought this application on December 4, 2002. The defendants claimed that the confidentiality agreements did not apply, as they only pertained to information that was exchanged when the parties decided to form a business relationship.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8" w:name="Holdings of Court_9"/>
            <w:bookmarkEnd w:id="8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interlocutory injunction was granted. The defendants were restrained from operating an on-line Internet secure pre-paid payment card service that was similar to Global's business. Global raised a serious case to be tried. The Cybux and Mybux systems were alike. Both systems pursued the same market. The defendants' activities were not fair competition. Global would suffer irreparable harm if the injunction was not granted. That harm could not be compensated by damages. Mybux lacked sufficient assets to pay damages. The balance of convenience was in Global's favour, as the injunction would not cause Mybux to cease business. The Internet service was only one component of its business. Global's application was not barred by delay. It acted promptly to protect its rights. The agreements applied to confidential information that was exchanged once the relationship had crystallized. Global made a case that McLeod and Sebring breached the agreements. Further, Global raised a strong case that McLeod owed it fiduciary duties.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June 20, 2003. See </w:t>
            </w:r>
            <w:hyperlink r:id="rId364" w:history="1">
              <w:r>
                <w:rPr>
                  <w:rFonts w:ascii="arial" w:eastAsia="arial" w:hAnsi="arial" w:cs="arial"/>
                  <w:i/>
                  <w:color w:val="0077CC"/>
                  <w:sz w:val="18"/>
                  <w:u w:val="single"/>
                  <w:shd w:val="clear" w:color="auto" w:fill="FFFFFF"/>
                  <w:lang w:val="en-US" w:eastAsia="en-US" w:bidi="ar-SA"/>
                </w:rPr>
                <w:t>[2003] B.C.J. No. 1467</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9" w:name="Counsel_12"/>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A. Hobbs, for the plaintiffs. Gordon G. Plottel,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2"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BALLANCE J."/>
            <w:bookmarkEnd w:id="91"/>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have commenced an action against the defendants alleging breach of contract,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passing off, copyright and trademark infringement and conspiracy and unlawful interference with business. At this hearing they also alleged breach of confidence although that cause of action has not been plead specifically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thrust of the claim is that one or more of the defendants have wrongfully misappropriated confidential information and property including corporate opportunities belonging to the plaintiffs for their personal gain and profit. The focus of the dispute surrounds the defendants' entitlement to use and market certain on-line internet secure pre-paid payment card services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seek an interlocutory injunction restraining the defendants from:</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passing off the Services by imitation of the plaintiffs' mark;</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infringing the plaintiffs' registered trademark and copyright relative to the Services;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carrying on business or operating a website connected in any manner with the provision of the Services which are the same or substantially similar in nature to the Services provided by the plaintiffs or their licensees;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communicating with various third parties about the provision of the Services like those provided by the plaintiffs, or soliciting customers who may have dealt with or may deal with the plaintiffs or its licensees regarding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around 2000, Clayton Moore conceived an idea. His idea was to create a secure pre-paid electronic payment card which would enable users to make purchases over the internet anonymously. The card could be used by anyone who could transfer money into a specific card account including students and other young people who were unable to obtain credit cards. At the time, Mr. Moore was a 22 year old bartender.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Moore researched his idea and discovered that banks were not yet using such a system. Mr. Moore initially called his on-line pre-paid payment card idea the "ICARD".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early stages of its inception, Mr. Moore prepared an initial document describing the ICARD concept. With the assistance of others, he transformed his initial plan into a relatively detailed and polished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Moore retained an individual to assist him in writing the applicable software. He also hired a graphic artist to design a logo, business cards and brochures for use in presentations to potential investors and merchants. Additionally, Mr. Moore, with varying degrees of assistance from others, pursued the marketing, raising of investment capital, business planning and technical matters related to the development of the ICARD.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2001, Mr. Moore, along with Patrick Boychuck and others, incorporated Global Internet Management Ltd. to facilitate the further development and implementation of the ICARD. Mr. Moore registered ICARD as a domain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March 2001, Mr. Moore came to recognize that the business needed more sophisticated financial and technical expertise. Around that time, he was introduced to the defendant, George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George McLeod has impressive credentials. He was a chartered accountant with 20 years experience in the information technology business. Mr. McLeod was hired on March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McLeod prepared a letter summarizing his understanding of the terms of his engagement. According to the letter, he was to publish a business plan, prepare general and detailed specifications for the ICARD application system, attend meetings as required and provide other sundry consulting services. Mr. McLeod was hired to work from March 1, 2001 through to April 30, 2001, at a fee of $10,000.00 per month, plus applicable taxes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Around the same time, Mr. McLeod asked Mr. Moore to sign an Option Agreement which purported to entitle Mr. McLeod to acquire 10% of the authorized common shares of Global Internet Management Ltd. for $1.00. Mr. Moore granted the option, but it was never exercised by Mr.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March 15, 2001, at least two of the individuals involved in Global Internet Management Ltd. had left the company. Mr. Moore therefore incorporated a fresh company called Global Internet Marketing Inc. ("Global") to pursue the ICARD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Also in March 2001 it became apparent to Mr. McLeod that Global needed additional assistance in developing the necessary software. To that end, Mr. McLeod sent an e-mail to his acquaintance, Dana Woods, providing relatively detailed system specifications for the ICARD program. Messrs. McLeod and Woods had known one another for many years. Mr. McLeod asked Mr. Woods, among other things, to provide a fixed price quote to develop these application systems. Mr. Woods and a gentleman by the name of William Schroeder submitted a proposed approach to carrying out the requested work. Global hired Mr. Woods' company, Sebring Technologies Corp. ("Sebring") in mid-April 2001 to perform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Sebring's chief business seems to be the development and marketing of point of sale ("POS") software. POS software is loaded into a cash register in order to enable the register to maintain a record of the number, cost and type of product being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late March 2001, Mr. McLeod, Mr. Moore and others at Global prepared a lengthy written proposal about ICARD and submitted it to Canada Post. In the draft proposal, Mr. McLeod describes himself as the President of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many matters in dispute is whether Mr. McLeod was ever the President of Global. Mr. Moore says that by late March or early April 2001, Mr. McLeod had wanted to become more extensively involved in Global than merely as an outside consultant with a two-month contract. Mr. Moore says that he appointed Mr. McLeod President of Global but admits that the corporate resolutions were never prepared or signed. The reason, he says, is that Mr. McLeod did not want to appear in Global's corporate records as President due to a rule relating to his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multiple e-mails written by Mr. McLeod starting in the Spring 2001 where he describes himself as the President of Global to prospective customers, banks and investors. The description of Mr. Moore during the same period is as Global's "Chairman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McLeod denies that he was ever an officer of Global. He explains that he described himself as President to various third parties largely to give credibility to the company. He says Mr. Moore and others at Global knew that the description of him as President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Three significant agreements were signed by Mr. Woods on behalf of Sebring with Global. They are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Confidentiality Agreement dated April 19, 2001: This Agreement contains negative covenants by which Sebring agrees not to use confidential information to, among other things, reverse engineer or use, disclose or develop technology that is the same or substantially the same as Global's ICARD technology. Notably, the Agreement provides a stipulated remedy of injunctive relief in the event of breach. The defendants have raised issues about the scope of the coverage of the Confidentiality Agreement. Additionally, they assert that Sebring never received any confidential information from Global as defined in the Agreement.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Intellectual Property Assignment Agreement dated April 19, 2001: Under the Assignment Agreement Sebring purports to irrevocably assign to Global unrestricted rights to the intellectual property known as ICARD. The plaintiffs say the intellectual property contemplated by this Agreement includes all object code and source code which Sebring developed for ICARD. The defendants contend that, at most, the Agreement covers the intellectual property used to develop a non-functioning ICARD prototype - as distinct from a functioning ICARD - and deny that Sebring had any intellectual property to assign at that time in any event.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Services Agreement, dated July or August, 2001: Another matter in dispute concerns the scope of the work undertaken by Mr. Woods, William Schroeder and Sebring in developing the software for the functioning ICARD. Mr. Woods deposes that Sebring was initially retained by Global merely to develop, with the assistance of William Schroeder, a non-functional prototype website for ICARD which would be used to demonstrate the ICARD application to prospective investors. He says that Global subsequently retained Sebring to develop a functioning prototype and that latter aspect of Sebring's retainer was covered by this separate Services Agreement. In contrast, Mr. Moore says Sebring was initially hired to develop both a non-functioning and functioning ICARD for a fixed sum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Two different versions of the Services Agreement were in evidence at the injunction hearing. The version which Mr. Woods says is the valid and subsisting one is dated July 26, 2001 (the "Sebring Version"). The version which the plaintiffs maintain is the authentic one is dated August 1, 2001 and was signed September 12, 2001 (the "Plaintiffs'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provisions of the two versions of the Services Agreement differ in three significant respects: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Version stipulates that Sebring is to work for a fixed term commencing on August 1, 2001 and ceasing October 31, 2001. The Sebring Version has the identical fixed term but adds a separate sentence authorizing the extension of the term with Global's agreement;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Version stipulates a maximum fixed fee of $45,000 for the work done. The Sebring Version provides that the maximum fee is to be $15,000 per month;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Sebring Version contains the following provision which is absent from the Plaintiffs' Version: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Title and interest to all source code developed by Sebring on behalf of the Client shall remain with Sebring until all invoices are paid in full and all other obligations of the Client relating to the contract, either verbally or in writing, are fulfilled."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"Client" above refers to Global. In both versions Sebring agrees, throughout the term and afterwards, not to use divulge or convey any information, knowledge, Global proprietary software or property relating to the services Sebring was engaged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allege that the term of Sebring's services was extended beyond the initial three month period and that Global thereby became obligated to pay Sebring an additional $15,000 for every extra month worked. They go on to allege that Global neglected to pay Sebring in full under the extended Services Agreement, and therefore pursuant to clause (d) of the Sebring Version (which I have noted is absent from the Plaintiffs' Version), Sebring has title to all computer source code which Sebring developed for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McLeod executed the above Sebring Agreements (including both versions of the Services Agreement) as the authorized signatory for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25, 2001 Mr. McLeod entered into his own Confidentially Agreement with Global. Its terms are virtually identical to the Sebring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Moore says that early on Mr. Woods' role in relation to Global evolved. He says that Mr. Woods became increasingly involved in the operation of the business and eventually became its chief technical officer. Mr. Woods denies ever acting as the Global's chief technical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some point in the Spring 2001, the name of Global's on-line pre-paid payment card was changed from ICARD to Cybux.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31, 2001, Global retained Wasserman Interactive to create a corporate identity and website for the Cybux card. It developed a corporate logo, stationery design, layout for a physical Cybux card and a complete design for Cybux.com/Cybux.net. The site design was completed by June 12, 2001 and Wasserman Interactive was paid in full. Upon final payment, all rights to the visual styling and usage rights for photography and other graphics used reverted to Global (with the exception of certain conditions which related to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2001, Canada Post informed Global they were putting the Cybux card project on hold. In an e-mail dated July 11, 2001 from Mr. McLeod to Messrs. Moore and Boychuk, Mr. McLeod complained that Canada Post had "stole [Mr. Moore's]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26, 2001 Global applied for a trademark of "Cybux". The trademark was registered on January 23,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milestone step for Global was achieved in the fall 2001 when Vancouver City Savings Credit Union agreed to sponsor it to have Credit Union Central of British Columbia develop the pre-paid electronic payment service. This process enabled Global to have its users interact on-line with their own accounts and merchant account holders at major Canadian banks. It was an essential step in the implementation of Global's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August or September 2001, Global was pursuing high schools as a potential market for the Cybux card. On September 21, 2001 Global made a presentation to Mr. Forester of the Coquitlam school board. It was presented as a pilot project which would combine the uses of the Cybux card with Sebring's POS system, to be implemented in the Terry Fox and Moody Middle schools. The proposal was pitched by Mr. Woods for Sebring and primarily by Mr. McLeod on Global's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Coquitlam school board did not accept the proposal as presented. Mr. Moore says that his understanding was that the school board had liked the Cybux card feature but not the cost of replacing the POS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Sometime around November 2001, the relationship between Messrs. Moore and Boychuck on the one hand, and Messrs. Woods and McLeod on the other, began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Woods says that by November 2001 Global had been in breach for many months of its obligation to pay Sebring $15,000 per month as required under the Sebring Version of the Services Agreement, which he contends had been extended for a number of months. Mr. Moore denies that any monies were owing to Sebring at that point and maintains that Sebring was only entitled to be paid the fixed fee of $45,000 pursuant to the Plaintiffs' Version of the Services Agreement and that Sebring had, in fact, been paid that fee and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McLeod says that payment of his monthly consultant fees were also long overdue. Global had paid him just under $50,000 and Mr. McLeod says he was owed another $59,934.26. Mr. Moore denies that Mr. McLeod was owed any money in the fall of 2001 and says that months earlier Mr. McLeod had stopped invoicing Global and had agreed to continue to work for Global without further pay and was content with an expectation of obtaining an equity position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late November or early December 2001, Messrs. McLeod, Moore and Boychuk met to discuss matters. There are varying accounts of the events which transpired at that meeting. However, the combined evidence of Messrs. McLeod and Moore is that Mr. McLeod introduced the prospect of having his acquaintance, Davie Rae (who was also present at the meeting), becoming an investor in Global. Mr. Moore rejected that proposal and says that the next day he informed Mr. Boychuk that Mr. McLeod was finished with Global. Mr. McLeod says that he did not stop working for Global until some months later in March 2002 and did so because he had not been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or around January 30, 2002 Messrs. McLeod and Woods presented the Delta school board with the Cybux card concept in conjunction with the Sebring POS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Similarly, throughout February 2002 Mr. Boychuk and Mr. McLeod presented on Global's behalf, a marketing package combining the Cybux card and the Sebring POS system to various other school boards, including North Vancouver, Surrey, Richmond, West Vancouver and Chilliwack. Mr. Moore says Global also continued its pursuit of the Terry Fox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February 2002, Messrs. Moore, McLeod, Boychuk and Woods attended a further meeting to discuss Global. Mr. Woods and Mr. McLeod each say that the purpose of the meeting was to discuss the amounts of money then outstanding from Global to Sebring and Mr. McLeod, respectively. According to Mr. Moore, at the meeting Mr. Woods and Mr. McLeod proposed a restructuring of the future ownership of Global which was rejected by Mr. Moore. Mr. Moore says that it was at this meeting that Mr. McLeod and Mr. Woods suddenly produced invoices purporting to indicate that Global owed Sebring and Mr. McLeod significant funds for past months of work. Both Messrs. Woods and McLeod maintain that they had invoiced Global regularly and had simply brought copies of unpaid invoices to the meeting. Mr. Moore admits that he gave Mr. Woods a cheque for $10,000 but says it was to pay for William Schroeder's work and felt that Mr. Woods had him over a barrel because he effectively had control of the vital software. Another meeting along the same topic lines was held among Messrs. McLeod, Wood and Moore in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Global's website application had been constructed using source code written by Sebring and/or Mr. Woods. In early April 2002, the files of source code which Sebring had developed for Global were deleted or removed from the Global website rendering it inoperative. Mr. Moore and Mr. Boychuk learned of the removal days after it had occurred. It appears as though the removal operation was carried out by one or both of Messrs. Woods and Schroeder. Mr. Woods contends that Sebring was entitled to remove the source code because Global was in arrears in its payments to Sebring owing under the terms of the Sebring Version of the Services Agreement. Sebring's purported authority to remove the source code files derives from the paragraphs of the two versions of the Services Agreement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April 2002 Global hired a new programmer, Ted Bouskill, to repair and re-design the application software, as necessary. The cost to Global to do so was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Boychuk says that around mid-April 2002, Mr. Forester of the Coquitlam school board reported to him that he had met with Messrs. McLeod and Woods and that they had suggested that Cybux was out of business and had been replaced by their new company. Over the next several months, Mr. Boychuk continued to market the Cybux card to local school districts and because he heard nothing more about Mybux, he assumed that Messrs. McLeod and Woods had abandoned their plans to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June 10, 2002 Davie Rae and Mr. McLeod incorporated a new company called Mybux Systems Inc. ("Mybux"). Mybux has eight shareholders including Messrs. McLeod, Woods and Schroeder and Davie Rae. Messrs. McLeod and Woods are among its directors. The Mybux system involves an on-line pre-paid payment card integrated with Sebring's POS system. The system was developed by Messrs. Woods, McLeod and Schroeder and by Michael Saville who was retained to create website graphics.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Mybux launched its own website on August 23, 2002. On September 4, 2002 the Mybux system was put into production at the Terry Fox school in Coquitlam,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Moore says that he first became aware of the existence of Mybux around September 24, 2002. Mr. Boychuk sent him an e-mail which he had received from Mr. Fichter, the cafeteria manager at the North Vancouver school board. Attached to Mr. Fichter's e-mail was a copy of an e-mail which Mr. Fichter had received from Mr. McLeod as President of Mybux, marketing the Mybux system. Mr. Boychuk deposes that Mr. Fichter telephoned him to report on this e-mail which he had received from Mybux and stated that Mr. McLeod was seriously bad mouthing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27, 2002 Global had the following work registered as its copyright: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Cybux web site content first published October 2001, authored by Wasserman &amp; Partners Inc.;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Cybux system version 1.0 source code first published June 2001, authored by Mr. Woods;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Cybux system version 2.0 source code first published September 24, 2002 authored by Mr. Woods and Ted Bouskill.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interlocutory injunction is an extraordinary remedy. The general approach to be taken by the Court in considering whether or not to grant one is set out by the Supreme Court of Canada in R.J.R. Macdonald Inc. v. Canada (A.G.) </w:t>
      </w:r>
      <w:hyperlink r:id="rId365" w:history="1">
        <w:r>
          <w:rPr>
            <w:rFonts w:ascii="arial" w:eastAsia="arial" w:hAnsi="arial" w:cs="arial"/>
            <w:i/>
            <w:color w:val="0077CC"/>
            <w:sz w:val="20"/>
            <w:u w:val="single"/>
            <w:shd w:val="clear" w:color="auto" w:fill="FFFFFF"/>
            <w:lang w:val="en-US" w:eastAsia="en-US" w:bidi="ar-SA"/>
          </w:rPr>
          <w:t>(1994), 111 D.L.R. (4th) 385</w:t>
        </w:r>
      </w:hyperlink>
      <w:r>
        <w:rPr>
          <w:rFonts w:ascii="arial" w:eastAsia="arial" w:hAnsi="arial" w:cs="arial"/>
          <w:color w:val="000000"/>
          <w:sz w:val="20"/>
          <w:lang w:val="en-US" w:eastAsia="en-US" w:bidi="ar-SA"/>
        </w:rPr>
        <w:t>. In that case, the Court ratified the line of authority which had adopted the approach taken by the House of Lords in American Cyanamid Co. v. Ethicon Icon Ltd., [1975] A.C. 396 which had established a three-prong test which is comprised of an analysis of:</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strength of the plaintiff's case;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irreparable harm;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convenience.</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Strength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initial question is whether the plaintiffs have presented a serious case to be tried. The threshold is no longer whether the plaintiffs have established a strong prima facie case. As pointed out by the Supreme Court of Canada, the threshold is a low one (R.J.R. Macdonald, supra). The Court must merely be satisfied that the plaintiffs' claim is not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that the plaintiffs' claims are neither frivolous nor vexatious and that there exists a serious case to be tried.</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phase of the assessment, the plaintiffs must demonstrate that without an injunction they will suffer irreparable harm. In the context of an interlocutory injunction in particular, this element requires the plaintiffs to show that the risk of injury without an injunction prior to trial cannot be adequately compensated by damages or other non-injunctive relief. Although the notion of irreparable harm is a familiar one in equity, it does not carry a precise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R.J.R. Macdonald, supra, the Supreme Court of Canada described irreparable harm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the only issue to be decided is whether a refusal to grant relief could so adversely affect the applicant's own interests that the harm could not be remedied if the eventual decision on the merits does not accord with the result of the interlocutory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"Irreparable" refers to the nature of the harm suffered rather than its magnitude. It is harm which either cannot be quantified in monetary terms or which cannot be cured, usually because one party cannot collect damages from the other. Examples of the former include instances where one party will be put out of business by the Court's decision; where one party will suffer permanent market loss or irrevocable damage to its business reputation; or where a permanent loss of natural resources will be the result when a challenged activity is not enjoined. The fact that one party may be impecunious does not automatically determine the application in favour of the other party who will not ultimately be able to collect damages, although it may be a relevant consideration. (references omitted) (pp. 405-6).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insist that the Mybux system is fundamentally different from Global's system. Mr. McLeod admits that there is a Cybux-like pre-paid payment card component of Mybux, but he says that unlike Global, Mybux also incorporates the Sebring POS system. He states that the dominant purpose of the on-line pre-paid payment card feature of the Mybux system is to enable the card to be used in conjunction with the POS system in schools, hospitals and corporate environments. Defendants' counsel submits that Mybux's capability to facilitate on-line purchases through the pre-paid payment card feature is merely a "bonus" for Mybux card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the Mybux and Cybux systems differ when examined in their totality, a secure on-line pre-paid payment card component is clearly a functional element of the Mybux system. To that extent, the Mybux and Global systems are alike. To my mind, Mybux, in its simplest form, encapsulates in a single corporate vehicle, the combined Cybux card and the Sebring POS system previously marketed by Global and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Defendants' counsel asserts that Global and Mybux have a different market niche. Global has actively marketed the Cybux card to school districts starting in August or September 2001. The evidence is that Global continued to pursue the various school districts through at least the first quarter of 2002 and, indeed, it was through Global's contacts at the Coquitlam and North Vancouver school boards that Messrs. Moore and Boychuk eventually learned of the existence of Mybux. The Cybux card is operating in at least one school on the North Shore and is scheduled to open in four additional British Columbia schools by September 2003. Additionally, a company which provides cafeteria services in high schools and post-secondary institutions in Canada and the U.S.A. have expressed interest in having the Cybux system installed in all their cafeteria operations. I point out that the implementation of Global's business plan was temporarily curtailed by the setback in April 2002 of having to rebuild its website applications as a result of the removal of those applications by Sebring. Although Global is still a developing business and therefore has not yet fully established its market, it is abundantly clear on the evidence that the school market comprises a significant existing and potentially expanding market sector for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Around April 18, 2002, which was some months before Mybux was even incorporated, Mr. McLeod approached Davie Rae to finance the test implementation in the Terry Fox school of an on-line pre-paid payment cash card and Sebring's POS system. At that time, Mr. McLeod had received an engagement letter dated April 17, 2002 from Mr. Forester of the Coquitlam school board in relation to that pilot project. This was the very pilot project that Mr. McLeod had earlier presented to Mr. Forester on Global's behalf along with Mr. Woods for Sebring. At the time of this injunction hearing, the only facility where the Mybux system had actually been put into production was the Terry Fox school. As well, Mybux had completed the negotiation of a strategic business partner agreement in relation to school systems, is developing proposals with a strategic business partner to school districts in British Columbia, Alberta and Ontario and is in the progress of upgrading the Terry Fox school administration office to process student fees and other service revenue. Other business opportunities of Mybux include a proposal to a major health district in Alberta, a contract to implement the Mybux system for a major on-line gaming corporation and upgrading Sebring's contact hospitals to accept the Mybux system. In addition, Mybux users can purchase music on-line. Like Global, Mybux is a developing business and although schools are not an exclusive target customer, the evidence demonstrates that they represent a significant market for Mybux and that Mybux is actively pursuing that market sector, including some of the very school districts which Mr. McLeod had earlier solicited business from on Global's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demonstrates that the school market is currently the plaintiffs' primary business market and that Mybux is aggressively and actively pursuing that market with some success. In the circumstances, I do not consider Mybux's pursuance of the school market to amount to fair competition in that market niche. Based on the foregoing, I am satisfied that the plaintiffs will suffer irreparable harm by way of loss of a portion of that business if an injunction enjoining the defendants from making further use of the on-line pre-paid payment cash card element of Mybux is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Of greater importance to the question of irreparable harm in this case, however, is the financial ability of Mybux to pay an award of damages should the plaintiffs succeed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economic viability of Mybux is unknown and has by no means been demonstrated. A pro forma statement of Mybux's projected income prepared by Mr. McLeod specifically in relation to this litigation was in evidence. The projected income flow is mere speculation and is unproven. I find there is no satisfactory evidence of Mybux owning assets with a demonstrated value or of being capable of generating net revenue over time from its operating or prospective business engagements.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Although a defendant's ability to pay damages is only one factor to be taken into account in assessing whether there is irreparable harm, it is in this case a dominant consideration. I find that the plaintiffs will suffer irreparable harm on account of the defendants' questionable ability to pay damages if an injunction is not granted. (see British Columbia (Attorney General) v. Gitanmaax Band, </w:t>
      </w:r>
      <w:hyperlink r:id="rId366" w:history="1">
        <w:r>
          <w:rPr>
            <w:rFonts w:ascii="arial" w:eastAsia="arial" w:hAnsi="arial" w:cs="arial"/>
            <w:i/>
            <w:color w:val="0077CC"/>
            <w:sz w:val="20"/>
            <w:u w:val="single"/>
            <w:shd w:val="clear" w:color="auto" w:fill="FFFFFF"/>
            <w:lang w:val="en-US" w:eastAsia="en-US" w:bidi="ar-SA"/>
          </w:rPr>
          <w:t>[1986] B.C.J. No. 1395</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9 B.C.L.R. (2d)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Likewise, there is no concrete evidence to show that Global has a valuable asset base. Consequently, I am not satisfied that the plaintiffs' undertaking in damages would offer the defendants adequate protection should the injunction be granted and the plaintiffs fail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Where there is doubt as to the adequacy of the respective remedies in damages on both sides and irreparable harm has been established, as I find exists in this case, the Court will then assess the balance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Mr. McLeod's departure from Global, Global raised further working capital by licensing its technology to a third party licensee. Defendants' counsel contends that it is therefore the licensee and not the plaintiffs who would ultimately suffer any irreparable harm if an injunction were denied. I disagree. The plaintiffs have not sold or otherwise divested ownership of their technology but have merely licenced its use for a period of time. The plaintiffs have the standing to bring this action regardless of the existence of any licence agreement and should they prevail at trial, they are the parties entitled to the payment of damages and any other relief ordered. The inability of the defendants to pay damages has a direct and adverse impact on the plaintiffs. Moreover, it is in the interests of the plaintiffs to uphold the value of their licensed technology and failure to do so may potentially expose them to a claim by that third party licensee. In my view, the licence arrangement does not preclude the plaintiffs from suffering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respondents argue that the plaintiffs have delayed unduly in bringing their injunction application. Delay is a factor to be considered in determining whether to grant injunctive relief and in relation to a interlocutory injunction, may have a direct bearing on the existence of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Shortly after Mr. Moore discovered that Mybux existed and the nature of its business, the plaintiffs - through their counsel - demanded that Mybux and Sebring cease use of the on-line pre-paid payment card. The Writ of Summons and Statement of Claim were filed November 13, 2002. Injunctive relief is specifically sought in the Statement of Claim. The Statement of Defence was not filed until March 2003. The plaintiff's Notice of Motion for injunctive relief was signed on December 4, 2002. This was a two-day hearing and so counsel were required to secure the available dates in advance with each other and the Court Registry. That was done and a Notice of Hearing was signed on February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Delay may serve to deprive a plaintiff of injunctive relief if it is established that the delay has produced or is accompanied by prejudice to the defendant. Mr. McLeod deposes that between swearing his first affidavit on December 20, 2002 and his second affidavit on February 26, 2003, Mybux has continued to develop and expand its business. Specifically, Mybux has presented proposals to school districts, has entered into a letter of intent with a multi-national vendor, reached an agreement for the supply and distribution of student services cards and begun implementation of the Mybux system for an on-line gaming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often-cited statement explaining the principle of laches is found in Lindsay Petroleum Co. v. Hurd (1874), 5 L.R. 221 (P.C.), which was quoted and applied by the Supreme Court of Canada in Cadbury Schweppes Inc. v. FBI Foods Ltd., </w:t>
      </w:r>
      <w:hyperlink r:id="rId367" w:history="1">
        <w:r>
          <w:rPr>
            <w:rFonts w:ascii="arial" w:eastAsia="arial" w:hAnsi="arial" w:cs="arial"/>
            <w:i/>
            <w:color w:val="0077CC"/>
            <w:sz w:val="20"/>
            <w:u w:val="single"/>
            <w:shd w:val="clear" w:color="auto" w:fill="FFFFFF"/>
            <w:lang w:val="en-US" w:eastAsia="en-US" w:bidi="ar-SA"/>
          </w:rPr>
          <w:t>[1994] 8 W.W.R. 727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 doctrine of laches in Courts of Equity is not an arbitrary or a technical doctrine. Where it would be practically unjust to give a remedy, either because the party has, by his conduct, done that which might fairly be regarded as equivalent to a waiver of it, or where by his conduct and neglect he has, though perhaps not waiving that remedy, yet put the other party in a situation in which it would not be reasonable to place him if the remedy were afterwards to be asserted, in either of those cases, lapse of time and delay are most material.(...) Two circumstances, always important in such cases, are, the length of the delay and the nature of the acts done during the interval, which might affect either party and cause a balance of justice or injustice in taking the one course or the other so far as relates to the remedy. (at pp. 239-40)"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is not a case where the plaintiffs have stood idly by while to their minds their purported rights have been infringed. I find that in the circumstances they acted reasonably promptly in commencing the action and bringing their injunction application. The defendants knew from the outset that the plaintiffs intended to seek injunctive relief. Any inference on their part that the plaintiffs had changed their mind and were intending to abandon their claim to that relief would be baseless and unreasonable in the circumstances. Accordingly, I conclude there has been no delay on the part of the plaintiffs in pursuing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turn next to an assessment of the balance of convenience.</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Under this heading, a wide array of factors is considered. In general terms, the Court is concerned with weighing the relative impact upon the parties in granting or withholding the injunction pending a decision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McLeod deposes that the granting of an injunction would have the effect of ceasing Mybux's business operations. It is important to note that the plaintiffs are not seeking to enjoin Mybux from operating in its entirety. They apply to restrain Mybux from using one component of its system, namely, the secure on-line internet pre-paid payment card component. In their affidavit material, both Messrs. McLeod and Woods repeatedly emphasize that the pre-paid payment card component is only one feature or "bonus" of Mybux's overall enterprise. Mr. Woods deposes that Mybux is capable of transacting both on-line and off-line payments. He emphasizes that it is the POS system which is the critical component of the Mybux product. Mr. McLeod's evidence is along the same lines and he points out specifically that Mybux users can do more with their Mybux cards than simply make on-line purchases which is all that is available to the Cybux card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disputed precisely what portion of the Mybux transactions occurring daily at the Terry Fox school actually involve the use of Mybux's pre-paid payment cash card element as distinct from its separate POS system. Common sense dictates that restraining the defendants from the ability to use the on-line pre-paid payment card component of the Mybux system will have a negative effect on Mybux's business. However, the evidence falls short of satisfying me that Mybux would be put out of business or be compelled to cease operations altogether. In contrast, Global's entire business enterprise consists of its secure on-line internet prepaid payment card and, as I have concluded previously, in the event injunctive relief is not granted a portion of Global's primary market sector will be permanently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Global and various of the defendants have invested considerable funds in the development and marketing of their respective products. Global and its licensee have made a combined financial contribution of approximately $1.2 million dollars. Mybux has incurred expenses of approximately $87,000.00 and has received an oral commitment from prospective investors to raise $1 million through a private placement offering. As well, Davie Rae and another individual have invested more than $64,000.00 in Mybux and personally guaranteed a 60 month term loan for about $14,500.00. The evidence also demonstrates that Global and Mybux each have considerable business opportunities in the development and marketing phases.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assert that the Court should examine the status quo and, in particular, the manner in which it was altered by the defendants' allegedly underhanded conduct. The application of the status quo principle is problematic. An obvious issue it raises pertains to identifying the precise time at which the status quo ought to be preserved. Is it the date that the defendants are alleged to have first acted improperly the date of the plaintiffs' discovery of the alleged first wrongdoing; the date that the action commenced, or some other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R.J.R. Macdonald, supra, the Supreme Court of Canada concluded that the application of the status quo principle was of "limited value in private law cases" (at page 410) and I do not find it of assistance in this case. The preferred approach must be a principled one by which the Court balances the risks to the respective parties in determining whether to grant or deny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noted, early on in their dealings with Global, Mr. McLeod and Sebring each signed Confidentiality Agreements in Global's favour. In the body of those Agreements, the parties agreed that a breach of its terms would constitute irreparable harm and stipulated injunctive relief as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definition of confidential information contained in the Agreements is extremely broad. Notably, the Agreements contain negative covenants given by Mr. McLeod and Sebring by which they each agree to restrictions pertaining to the use, transmission and disclosure of the confidential information. The Agreements stipulate that those restrictions do not terminate, for the most part, unless the confidential information in question ceases to be treated as such by Global. There is also an explicit prohibition against Mr. McLeod and Sebring establishing, or attempting to establish, a business relationship with certain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instructive to reproduce certain noteworthy provisions of the McLeod Confidentiality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 of Confidential Information. In this Agreement, "Confidential Information" means trade secrets and any other information not generally known to the public, that is owned by either Party, or by any company affiliated, associated or related to either Party, or by any of its suppliers, customers or other business partners. Confidential information includes, without limitation, all source code, and related documentation, business and marketing plans and strategies, financial information, legal, corporate, marketing, product, research, technical, manufacturing, personnel, customer and supplier information and any other information in whatever form or media, specifically identified as confidential by the disclosing Party, or the nature of which is such that it would generally be considered confidential in the industry in which the Party operates, or which the Party is obligated to treat as confidential or proprietary. Confidential information also includes, without limitation, any and all information regarding discussions, negotiations, letters or intent, or agreements with any persons with whom Global may transact business, including, but not limited to the details of such negotiations, letters of intent, or agreements, any copies of documents executed between one of the Parties and such persons, and the identity of such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 The parties acknowledge that each Party (the "Recipient") will receive the other Party's (the "Discloser") Confidential Information solely for the purpose of determining if a mutually beneficial business relationship or other agreement can be established between Global and McLeod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of Confidential Information. As Recipient, each Party acknowledges that it will be receiving Confidential Information from the other Party in order to fulfill the Purpose. The Party further acknowledges that this information is of significant value to the other Party. Each Party agrees that nothing in this agreement, or otherwise, shall allow such party to acquire any right, title or interest in or to the Confidential Information. Each Party shall maintain in strict confidence all Confidential Information disclosed to it, or to which it obtains access, as a result of this agreement, or otherwise. Each party shall take all necessary precautions against an unauthorized disclosure of the Confidential Information of the other Party. Except as specifically provided for herein, neither Party shall without limitation, directly or indirectly, disclose, allow access to, transmit or transfer Confidential Information of the other Party to any person without the other Party's consent, or use or reproduce such Confidential Information, in any manner, except as reasonably required to fulfill the Purpose. Each Party shall ensure that every copy it makes of any Confidential Information of the other Party is clearly marked, or otherwise identified, as confidential and proprietary to the other Party, and is stored in a secure location while in the Recipient's possession, control, charge or custody.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Reverse Engineering. McLeod acknowledges that the Confidential Information may include a copy of the Internet payment technology developed by Global. McLeod agrees that it [sic] will not use the information provided by Global in connection with the Purpose, to reverse engineer or develop technology the same as or substantially the same as the Internet payment technology developed by Global.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Non-Solicitation of Third Parties. McLeod acknowledges that it [sic] may be introduced to certain Third Parties in order to fulfill the Purpose. McLeod further acknowledges that the relationship Global has with such Third Parties is of significant value to Global. McLeod acknowledges that for the purposes of this Agreement, the Third Parties and all information related thereto that are exposed to McLeod in fulfilling the Purpose shall be treated as Confidential Information. McLeod covenants to with Global that it [sic] shall not establish or attempt to establish a business relationship or other agreement with any Third Party without the direct involvement of Global. McLeod shall in no manner attempt to circumvent Global's relationship with a Third Party by communicating, in any manner and for any purpose, with any third party without the direct involvement or express consent of Global.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Injunctive Relief. The Parties expressly acknowledge and agree that any breach of this Agreement by either Party would cause irreparable harm to the other Party for which damages would not be an adequate remedy and, therefore, the Parties hereby agree that, in the event of any breach by either of the parties to this Agreement, the other Party shall have the right to seek injunctive relief against the continuing or further breach by the Party breaching the terms of the Agreement without the necessity of proof of actual damages. This right to seek injunctive relief without necessity of proof of damage shall be in addition to any other right which the parties may have under this Agreement or otherwise in law or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definitions in the Confidentiality Agreement signed by Sebring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rely on the definition of "Purpose" and a similar recital to say that the Agreements were intended only to cover information exchanged while the parties were in the process of determining whether they would be solidifying a business relationship. They say they were not intended to cover confidential information exchanged once that business relationship had crystallized. They further contend that, in any event, there was no confidential information imparted by Global to either Mr. McLeod or Sebring.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not think that, on a plain reading, the scope of the Confidentiality Agreements is as narrow as that urged by the defendants. There are many aspects of those Agreements which indicate that the parties intended that they would subsist well beyond any initial "look and see" period. Examples include the prohibition of future reverse engineering, restrictions concerning the future use and disclosure of confidential information and the inclusion in the Agreements of an on-going term of adherence to its provisions. Had Mr. McLeod intended that the Agreement only apply during his initial negotiation phase with Global, it seems illogical and implausible that he would execute it nearly two months after commencing his business relationship with Global and after he had already begun to hold himself out as Global's "President"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 Agreements can reasonably be interpreted to cover Mr. Moore's initial idea of the ICARD concept and the accompanying and evolving business plans, Global's marketing strategies and initiatives, at least the initial system specifications and financing prospects and initiatives, all of which Mr. McLeod became privy to through his relationship with Global. It would also encompass the negotiations and other dealings with all schools and school boards including the Terry Fox school, carried out by Mr. McLeod on Global's behalf until approximately the spring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a general principle, the Courts have more readily granted injunctive relief where there has occurred a clear breach of a negative covenant such as those contained in the Confidentiality Agreements. The rationale is that the parties have agreed that a particular act not be done and the issuance of an injunction merely enforces that negative bargain between the parties. (R.J. Sharpe, Injunctions and Specific Performance, 2nd ed. looseleaf (Aurora, Ont.: Canadian Law Book Inc.,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this interlocutory stage, it is not possible for me to determine with certainty whether Mr. McLeod or Sebring have breached any provision of their respective Confidentiality Agreement or whether Sebring has breached its negative covenants under the Services Agreement. It is, however, possible to assess whether the plaintiffs have a strong case on the merits that one or more of such breaches have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do not dispute that, as among the parties, the ICARD card concept originated from Mr. Moore, and I am satisfied that such a card concept was not within the public domain so as to exempt it from coverage under the Confidentiality Agreements. The defendants deny that they used the technology and, in particular, the source code software developed by Sebring for Global in designing the on-line pre-paid payment card feature of the Mybux structure. They assert that the Intellectual Property Assignment Agreement relates to the intellectual property surrounding the development of the non-functioning ICARD prototype and that the Services Agreement pertains only to the development of software for a functioning Cybux card. The dispute over the ownership of the source code raised by the two different versions of the Services Agreement does not necessarily affect the ownership of the initial concept or the original idea of the ICARD, non-functioning or functioning. I think an inference can reasonably be drawn from the evidence as a whole that one or both of Mr. McLeod and Sebring through Mr. Woods used, reproduced, disclosed or transmitted to Mybux some aspect of the information or knowledge concerning the initial ICARD concept to "spring board" the development of the Cybux-like card component of Mybux. One of the factors which tends to support the notion that Mr. McLeod and Sebring used some aspect of the confidential information as a basis to springboard the ICARD concept into the Mybux structure is the sheer expediency with which the on-line pre-paid payment card feature of Mybux became fully operational. One can reasonably surmise that the temptation to use some of Global's fundamental existing know-how would be irresistible. It is further notable that Mybux clearly incorporated large chunks of the content of the Global website in the Mybux website. Mybux's initial website even went so far as to include a portion of a photograph appearing on Global's website. Mr. Bouskill, the independent computer programmer hired by Global to repair its website, deposes that the two website systems are very similar and virtually identical in many visual respects including content. After the commencement of this litigation, Mybux subsequently altered its website so that it no longer so closely paralleled Global's. I recognize that the ownership of the content of the website as between Global and Mr. McLeod is in dispute, however, that factual dispute aside, I find that the striking similarity in the two websites is another factor which tends to support the plaintiffs' contention that the defendants used some aspect of Global's confidential information quite apart from the source code software, to springboard the design, development and marketing of the Mybux pre-paid payment card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Under the Confidentiality Agreement Mr. McLeod agrees that he will not establish or attempt to establish a business relationship or other agreement with any third party without the direct involvement of Global. He further agrees that he will in no manner attempt to circumvent Global's relationship with a third party by communicating in any manner or for any purpose with any third party without the direct involvement or express consent of Global. At the hearing, defendants' counsel made much of the fact that it was Mr. Woods who first introduced Mr. McLeod to Mr. Forester of the Coquitlam school board for the purpose of discussing the implementation of the Cybux card. It is clear that through its negotiations with Mr. Forester, Global was attempting to establish a business relationship with the Coquitlam school board and equally as clear that Mr. McLeod's introduction to Mr. Forester was as a representative of Global and that Mr. McLeod was dealing with Mr. Forester on behalf of Global and in pursuit of Global's business objectives. Mr. McLeod learned of and participated in the Coquitlam school board business opportunity by virtue of his involvement with Global even though it may not have been Global per se who made the first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McLeod's introduction to Mr. Forester occurred after he and Global had executed his Confidentiality Agreement on April 25, 2001. The information exchanged in the discussions and negotiations between Global (via Mr. McLeod and others) and Mr. Forester likely falls within the definition of confidential information under the Agreements and Mr. McLeod would be severely restricted in its use or disclosure to Mybux and others. As noted earlier, Mr. McLeod had also marketed the Cybux card on Global's behalf to other school districts in tandem with Mr. Woods' presentation of the POS system. Mybux is now in production at the Terry Fox school and is actively pursing and may have secured opportunities with other school districts. The Terry Fox school is the very school that Global - principally through Mr. McLeod - had earlier targeted for business in its communications with Mr. Forester. Based on the defendants' combined evidence, Mr. McLeod secured the Terry Fox school opportunity within roughly one month of when he says he departed Global. The evidence does not demonstrate that Global had ever abandoned its pursuit of the Terry Fox school or other target school district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the plaintiffs have made out a strong case on the merits that Mr. McLeod has breached his negative covenants under the Confidentiality Agreement not to use, disclose, transmit or reproduce confidential information (including the content of any discussions or negotiations with Mr. Forester or other school district representatives Global had been dealing with) and not to attempt to establish a business relationship or other agreement with a third party in respect of whom he had previously been dealing with on Global's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McLeod states that in March 2002 he told Mr. Moore that he intended to pursue a business developing pre-paid payment cards and POS software. He says that in response Mr. Moore e-mailed him about 5 months later on August 14, 2002 stating he hoped the new venture was going well. Counsel for the defendants contend that this exchange forms the basis of an estoppel defence. Mr. Moore denies that Mr. McLeod informed him in advance about the Mybux enterprise and says that had he known what Messrs. McLeod, Woods and Rae were up to with Mybux he would have commenced legal proceedings sooner. The content of Mr. Moore's August 14, 2002 e-mail is equivocal and the underlying facts upon which the defendants rely in relation to the estoppel defence are in dispute. I do not accept that the possibility of this defence detracts in a material way from my finding that the plaintiffs have established a strong case on the merits that Mr. McLeod has breached negative covenants under his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American Cyanamid case, supra, Lord Diplock stated that in assessing the balance of convenience it is permissible for a Court to take into account the special factors of an individual case. The House of Lords did just that in arriving at their decision in that case. The legitimacy of weighing special factors was also acknowledged by the Supreme Court of Canada in R.J.R. Macdonald,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existence of the plaintiffs' strong case establishing breach on the part of Mr. McLeod of one or more negative covenants found in the Confidentiality Agreement in conjunction with Mr. McLeod's agreement to stipulated injunctive relief by that Agreement, amount to a special factor in this case. In 970820 Ontario Inc. (c.o.b. Just New Releases) v. Richler et al, </w:t>
      </w:r>
      <w:hyperlink r:id="rId368" w:history="1">
        <w:r>
          <w:rPr>
            <w:rFonts w:ascii="arial" w:eastAsia="arial" w:hAnsi="arial" w:cs="arial"/>
            <w:i/>
            <w:color w:val="0077CC"/>
            <w:sz w:val="20"/>
            <w:u w:val="single"/>
            <w:shd w:val="clear" w:color="auto" w:fill="FFFFFF"/>
            <w:lang w:val="en-US" w:eastAsia="en-US" w:bidi="ar-SA"/>
          </w:rPr>
          <w:t>[1995] O.J. No. 1902</w:t>
        </w:r>
      </w:hyperlink>
      <w:r>
        <w:rPr>
          <w:rFonts w:ascii="arial" w:eastAsia="arial" w:hAnsi="arial" w:cs="arial"/>
          <w:color w:val="000000"/>
          <w:sz w:val="20"/>
          <w:lang w:val="en-US" w:eastAsia="en-US" w:bidi="ar-SA"/>
        </w:rPr>
        <w:t>, the court found that the fact that the plaintiff had established a strong case against the defendant for breach of a negative covenant weighed heavily in favour of granting interlocutory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weighing of the balance of convenience does not call for a tallying up of each individual relevant factor. As stated by Mr. Justice Lambert in Canadian Broadcasting Corp. (CBC) v. CKPG Television Ltd. </w:t>
      </w:r>
      <w:hyperlink r:id="rId369" w:history="1">
        <w:r>
          <w:rPr>
            <w:rFonts w:ascii="arial" w:eastAsia="arial" w:hAnsi="arial" w:cs="arial"/>
            <w:i/>
            <w:color w:val="0077CC"/>
            <w:sz w:val="20"/>
            <w:u w:val="single"/>
            <w:shd w:val="clear" w:color="auto" w:fill="FFFFFF"/>
            <w:lang w:val="en-US" w:eastAsia="en-US" w:bidi="ar-SA"/>
          </w:rPr>
          <w:t>(1992), 64 B.C.L.R. (2d) 96</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process of assessing all of the relevant factors at one time and in one unified context and reaching a single overall conclusion about where the balance of convenience rests"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on the foregoing, I conclude that in assessing the evidence as a unified whole, the balance of convenience rests heavily in the plaintiffs' favour and justifies the granting of the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event that I am incorrect in finding that the balance of convenience strongly favours the plaintiffs, I have therefore taken the further step of assessing the strength of the plaintiffs' case founded on Mr. McLeod's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allege that Mr. McLeod owed a fiduciary duty to Global of loyalty and good faith including avoiding any conflict between his duty and self-interest which precluded him from obtaining for himself or Mybux, Global's business opportunities. Mr. McLeod denies the existence of a fiduciary relationship and insists that at all times he was merely an independent consultant to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noted earlier, there is a dispute as to whether Mr. McLeod ever acted as the President of Global. A related dispute is whether Mr. McLeod agreed to work for an equity position in Global in substitution for payment of fees. These factual disputes do not, in my view, preclude me from assessing the strength of the plaintiffs' case based on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question of whether Mr. McLeod had been conferred with the title of President and accepted that title is not determinative and of limited relevance to the ultimate issue of whether he is fixed with a fiduciary duty. The Courts have long preferred the functional approach in assessing whether that duty has arisen (Canadian Aero Service Ltd. v. O'Malley et al </w:t>
      </w:r>
      <w:hyperlink r:id="rId370" w:history="1">
        <w:r>
          <w:rPr>
            <w:rFonts w:ascii="arial" w:eastAsia="arial" w:hAnsi="arial" w:cs="arial"/>
            <w:i/>
            <w:color w:val="0077CC"/>
            <w:sz w:val="20"/>
            <w:u w:val="single"/>
            <w:shd w:val="clear" w:color="auto" w:fill="FFFFFF"/>
            <w:lang w:val="en-US" w:eastAsia="en-US" w:bidi="ar-SA"/>
          </w:rPr>
          <w:t>(1973), 40 D.L.R. (3d) 371</w:t>
        </w:r>
      </w:hyperlink>
      <w:r>
        <w:rPr>
          <w:rFonts w:ascii="arial" w:eastAsia="arial" w:hAnsi="arial" w:cs="arial"/>
          <w:color w:val="000000"/>
          <w:sz w:val="20"/>
          <w:lang w:val="en-US" w:eastAsia="en-US" w:bidi="ar-SA"/>
        </w:rPr>
        <w:t xml:space="preserve"> (S.C.C.)). A fiduciary relationship between an individual and company may arise even if it does not fall within one of the classic categories such as director, officer, senior manager or key employee. The confidential information pertaining, for example, to business opportunities and marketing strategies acquired by Mr. McLeod via his relationship with Global may in fact be sufficient to impose a fiduciary duty upon him in respect of Global. (see Cadbury Schweppes Inc. v. F.B.I. Foods Ltd. </w:t>
      </w:r>
      <w:hyperlink r:id="rId371" w:history="1">
        <w:r>
          <w:rPr>
            <w:rFonts w:ascii="arial" w:eastAsia="arial" w:hAnsi="arial" w:cs="arial"/>
            <w:i/>
            <w:color w:val="0077CC"/>
            <w:sz w:val="20"/>
            <w:u w:val="single"/>
            <w:shd w:val="clear" w:color="auto" w:fill="FFFFFF"/>
            <w:lang w:val="en-US" w:eastAsia="en-US" w:bidi="ar-SA"/>
          </w:rPr>
          <w:t>(1999), 167 D.L.R. (4th) 577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strongly indicates that although Mr. McLeod's initial relationship to Global was as an independent contractor, his involvement quickly evolved and ultimately he assumed an integral and key part of the operation of Global's business enterprise. Much of the indicia of Mr. McLeod's evolved participation in Global is found in his own affidavit evidence including his e-mail communications, and include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signed third party agreements as the authorized signatory of Global;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an authorized signatory to one of Global's bank accounts, although not its corporate account;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presentations on behalf of Global to prospective investors;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privy to and participated in the development of Global's business plan, marketing efforts and objectives and financing details;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attended and convened meetings to deal with a wide variety of business aspects of Global such as setting policy on certain matters and choosing Cybux as the new name;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orchestrated retaining Sebring and involving Mr. Woods and Mr. Schroeder;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referred to Messrs. Moore and Boychuck as "my partners" in e-mail communications;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communicated with banks on behalf of Global including pursuing a strategic partnership with the Credit Union of B.C.;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actively marketed Global by organizing meetings and participating in those meetings with potential customers such as school district representatives,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consistently held himself out to third parties as the President of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am satisfied that the plaintiffs have a strong case that Mr. McLeod owed a fiduciary duty to Global which, in turn, prevents him from appropriating for himself or his company, any business opportunities being developed and pursued by Global. (Canadian Aero Service Ltd. v. O'Malley et al, supra; Barton Insurance Brokers Ltd. v. Irwin, </w:t>
      </w:r>
      <w:hyperlink r:id="rId372" w:history="1">
        <w:r>
          <w:rPr>
            <w:rFonts w:ascii="arial" w:eastAsia="arial" w:hAnsi="arial" w:cs="arial"/>
            <w:i/>
            <w:color w:val="0077CC"/>
            <w:sz w:val="20"/>
            <w:u w:val="single"/>
            <w:shd w:val="clear" w:color="auto" w:fill="FFFFFF"/>
            <w:lang w:val="en-US" w:eastAsia="en-US" w:bidi="ar-SA"/>
          </w:rPr>
          <w:t>[1999] B.C.J. No. 220</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63 B.C.L.R. (3d) 215</w:t>
        </w:r>
      </w:hyperlink>
      <w:r>
        <w:rPr>
          <w:rFonts w:ascii="arial" w:eastAsia="arial" w:hAnsi="arial" w:cs="arial"/>
          <w:color w:val="000000"/>
          <w:sz w:val="20"/>
          <w:lang w:val="en-US" w:eastAsia="en-US" w:bidi="ar-SA"/>
        </w:rPr>
        <w:t xml:space="preserve">; Re Wilson Learning Corp. and Hurley et al </w:t>
      </w:r>
      <w:hyperlink r:id="rId373" w:history="1">
        <w:r>
          <w:rPr>
            <w:rFonts w:ascii="arial" w:eastAsia="arial" w:hAnsi="arial" w:cs="arial"/>
            <w:i/>
            <w:color w:val="0077CC"/>
            <w:sz w:val="20"/>
            <w:u w:val="single"/>
            <w:shd w:val="clear" w:color="auto" w:fill="FFFFFF"/>
            <w:lang w:val="en-US" w:eastAsia="en-US" w:bidi="ar-SA"/>
          </w:rPr>
          <w:t>(1990), 33 C.P.R. (3d) 172</w:t>
        </w:r>
      </w:hyperlink>
      <w:r>
        <w:rPr>
          <w:rFonts w:ascii="arial" w:eastAsia="arial" w:hAnsi="arial" w:cs="arial"/>
          <w:color w:val="000000"/>
          <w:sz w:val="20"/>
          <w:lang w:val="en-US" w:eastAsia="en-US" w:bidi="ar-SA"/>
        </w:rPr>
        <w:t xml:space="preserve"> (Ont. H.C.); Wilson v. Anderson </w:t>
      </w:r>
      <w:hyperlink r:id="rId374" w:history="1">
        <w:r>
          <w:rPr>
            <w:rFonts w:ascii="arial" w:eastAsia="arial" w:hAnsi="arial" w:cs="arial"/>
            <w:i/>
            <w:color w:val="0077CC"/>
            <w:sz w:val="20"/>
            <w:u w:val="single"/>
            <w:shd w:val="clear" w:color="auto" w:fill="FFFFFF"/>
            <w:lang w:val="en-US" w:eastAsia="en-US" w:bidi="ar-SA"/>
          </w:rPr>
          <w:t>(1996), 69 C.P.R. (3d) 329</w:t>
        </w:r>
      </w:hyperlink>
      <w:r>
        <w:rPr>
          <w:rFonts w:ascii="arial" w:eastAsia="arial" w:hAnsi="arial" w:cs="arial"/>
          <w:color w:val="000000"/>
          <w:sz w:val="20"/>
          <w:lang w:val="en-US" w:eastAsia="en-US" w:bidi="ar-SA"/>
        </w:rPr>
        <w:t xml:space="preserve"> (Ont. Ct. Gen. Div.). I have already concluded that Global was continuing to pursue its business opportunities with schools, including the Terry Fox school. The evidence strongly indicates that Mr. McLeod, through Mybux has attempted to usurp, and in some cases has successfully usurped, those business opportunities. The plaintiffs have further established a strong case that Mr. McLeod breached his fiduciary duty owed to Global in pursuing the Terry Fox school business opportunity. Accordingly, I conclude that an interlocutory injunction would be separately justifiable on this ground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the injunction hearing, counsel for the defendants objected to the admission of paragraphs 3-8, 10-11, 13-15, 17-19, and 21 contained in Mr. Moore's reply affidavit sworn March 11, 2003, on the basis that the contents were not reply testimony. Counsel were content to have me include my ruling on that matter as part of these reasons. I rule that paragraphs 3, 6, 8, 13, 14, 15 and 18 are reply testimony and as such are admissible. The contents of paragraph 5 are also admissible as reply testimony except for the following two sentences: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'prototype' does not appear in the said Agreement and does not mean the system was not fully functional. The word 'prototype' means it was the first or original version of a functioning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last sentence of paragraph 7 is admissible as is all of paragraph 17 except for its final sentence. Paragraphs 4, 10, 11, 19 and 21 are not admissible as they are not proper reply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order to ensure that the injunction is given meaningful force, it is my view that it ought to be granted against each and all of the defendants. I order that an injunction be granted until the disposition of the trial, restraining and enjoining the defendants and each of them whether acting by their directors, officers, servants, agents or otherwise from developing, marketing, advertising, promoting, selling, implementing or otherwise carrying on business or operating a website on the internet in any manner whatsoever connected with the provision to any person, institution, corporation or other entity, including without limitation to any school or school district, of on-line internet secure pre-paid payment card services which are the same or substantially similar in nature or function to the on-line internet secure pre-paid payment services provided by Global or its licensees, or soliciting customers who have or may deal with Global or its licensees in relation to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Given the wide scope of the injunction granted, it is unnecessary for me to deal more particularly with the injunctive relief sought by the plaintiffs in paragraphs 1(a), (b), (c) and (d) of their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the parties did not make submissions on costs on this application or costs of the subsequent application of the defendants to have further evidence admitted, they may speak to the costs of one or both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Gordic v. Vidovic, [2014] B.C.J. No. 2613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22-25, May 5-6 and October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S106912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Mijodrag Gordic, also known as Mitch Gordic, Miladin Gordic, also known as Mike Gordic, and Peter Vladikovic, also known as Predrag Vladikovic, also known as Peter Vanagan, Plaintiffs, and Desimir Vidovic and Radomir Buhac,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Damages — For torts — Affecting the person — Defamation — Method of publication — Oral statements — Action by two plaintiffs for damages for defamation allowed — At church meeting regarding new bylaws, defendants called plaintiffs thieves, suggested they lowered church's property value to purchase for themselves, and would be reported for contravening bylaws — Statements were slanderous — Defence of qualified privilege not available except regarding statement those against bylaws would be reported — Plaintiffs awarded $45,000 each.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Imputations of crime — Showing reference is to plaintiff — Defences — Qualified privilege — Privilege — Qualified privilege — When qualified privilege arises — Where maker and audience in common enterprise — Charitable and religious enterprises — Action by two plaintiffs for damages for defamation allowed — At church meeting regarding new bylaws, defendants called plaintiffs thieves, suggested they lowered church's property value to purchase for themselves, and would be reported for contravening bylaws — Statements were slanderous — Defence of qualified privilege not available except regarding statement those against bylaws would be reported — Plaintiffs awarded $45,000 each.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3"/>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two plaintiffs for damages for defamation. The plaintiffs alleged at a church assembly meeting, the defendants called members of the church construction committee, of which the plaintiffs were part, thieves, intended to lower the church property value to purchase it for themselves, and were enemies of the church. The defendants, a priest and a church member, denied making the statements. They alleged they had identified members of the congregation who had persisted in contravening the church bylaws and exhibiting inappropriate behaviour, including cursing and physical fighting. A translation of a recording of the meeting, which was held in Serbian, did not indicate the words thief or enemies were spoken although several portions were unintelligible. Several witnesses testified the plaintiffs were well known within the church community as members of the construction committee and that the defendants had called the plaintiffs thieves.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10"/>
            <w:bookmarkEnd w:id="9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references by the defendants to the alleged failures of the construction committee were directed at the plaintiffs. It was slander to call someone a thief as it connoted a criminal act. Despite not being found in the transcripts, the plaintiffs had established on a balance of probabilities the defendants called them thieves. Suggesting the plaintiffs would purchase the property at a lower price lowered the reputation of the plaintiffs in the eyes of a reasonable person and amounted to slander. Calling the plaintiffs enemies of the church disparaged their religious beliefs and commitment to the church and were slander. The defendants had at least used words that those against the church would be reported, which were slanderous. There was no truth in the statements made. The defence of justification was not available. The statements were not made on occasion of qualified privilege as it was an open meeting and the statements were not germane to the occasion, except the statement that those against the church bylaws would be reported. The defence of fair comment was not available. The plaintiffs were entitled to $45,000 each against the defendant who called them thieves and suggested they intended to lower the property value to purchase it for themselves. Aggravated and punitive damages were not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Counsel_13"/>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D.W. Burnett,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J.S. Piamonte.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3"/>
      <w:bookmarkEnd w:id="96"/>
      <w:r>
        <w:pict>
          <v:line id="_x0000_s1096"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G.D. BURNYEAT J."/>
            <w:bookmarkEnd w:id="97"/>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damages against the Defendants on the basis that certain statements made by the Defendants constitute defamation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Notice of Civil Claim sets out the following regarding the Defendant, Radomir Buhac:</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9, 2010, at a meeting of members of the St. Archangel Michael Serbian Orthodox Church and other non-member spectators, the Defendant Radomir Buhac made the false and defamatory statements that or to the effect that the members of the church construction committee were, in Serbian, "lopovi," which translates to "thieves," and, further, in Serbian, "that it was time to kick them out of the Church," and, that the Plaintiffs had "brought the church to the brink of collapse" and "What will happen in ten years, little more, when it sinks? They will buy it in Dinik's recipe, as cheaply as possible, let's grab this."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audience to whom these statements were made understood that the "members of the church construction committee" referred to the Plaintiffs, as they were well known among members of the said Church to comprise the church construction committee.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statements meant, in their natural and ordinary meaning that the Plaintiffs are dishonest, criminals, untrustworthy, and unworthy of their positions with the St. Archangel Michael Serbian Orthodox Church, and that they had done serious harm to the church. These Statements constituted libel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defamatory statements made by the Defendant, Radomir Buhac, were made with express malice and intent to harm the Plaintiffs. The Plaintiffs have given the Defendant, Radomir Buhac, an opportunity to retract and apologize for his false and defamatory statements, but he has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Amended Notice of Civil Claim sets out the following regarding the Defendant, Desimir Vidovic:</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meeting, the Defendant Desimir Vidovic made the false and defamatory statement that or to the effect that, the Plaintiff Miladin Gordic was an "enemy of the church," or "neprijatelji crkve", and "I will certainly send all those names to the eparchy, so they know who here is against our Serbian Orthodox Church" in the Serbian language, and that he intended to recommend to the Archbishop that the Plaintiff Miladin Gordic be expelled from the church.</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statements meant and were understood to mean that the Plaintiff Miladin Gordic is immoral, corrupt, and unworthy of his position with the St. Archangel Michael Serbian Orthodox Church or even of being a member of the church. These statements constituted libel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defamatory statements of the Defendant, Desimir Vidovic, were made with express malice and intent to harm the Plaintiff Miladin Gordic. The Plaintiff Miladin Gordic has given the Defendant, Desimir Vidovic, an opportunity to retract and apologize for his false and defamatory statements, but he has refused to do so.</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alleged defamation, Plaintiffs state that, as members of the Serbian community within their church and city, have suffered and continue to suffer harm to their reputations as well as embarrassment and anguish over the false and vicious defamatory statements described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provide this response to the Amended Notice of Civil Claim:</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of the Defendants made the statements attributed to them and both Defendants deny that they published the words attributed to them.</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Radomir Buhac, denies that the words complained of, or the words that were actually stated by him, meant, or were understood to mean, or were capable of the meanings alleged or of any meaning defamatory to the Plaintiffs, by innuendo or otherwise.</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Desimir Vidovic denies that the words complained of, or the words that were actually stated by him meant, or were understood to mean, or were capable of the meanings alleged or of any meaning defamatory to the Plaintiffs, by innuendo or otherwise.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deny that the words complained of referred to, or were understood to refer to, or were capable of being understood to refer to the Plaintiffs.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Defendant was actuated by malice against, or intended to cause harm to the Plaintiffs or any of them, as alleged or otherwise.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actually spoken by each Defendant on the occasion of a church assembly meeting May 9, 2010 to were true in substance and fact. Particulars are as follows: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Desimir Vidovic stated that certain new church bylaws proposed by certain members of the congregation which was the subject of the meeting, had been sent to the Serbian Orthodox Diocese of Canada for comment. He stated that the reply received from the Diocese was that the proposed bylaws were not in accord with the statutes of the Serbian Orthodox Diocese of Canada or of its U.S.A. counterpart. The said Defendant in his capacity as the Priest, said that names of persons who, (thus informed), persist in contravening the statute of the Serbian Orthodox Church would have to be sent to the Diocese so they are aware of who oppose its tenets.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position as priest, the Defendant Desimir Vidovic further voiced concern and regret that a number of the people wishing, apparently, to lead the congregation against the tenets of the church, would stoop to cursing the Bishop and disrespecting other members of the congregation, all of which was extremely inappropriate behaviour in a church.</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Radomir Buhac supported the existing church Bylaw signed by the late Patriarch Pavle, a patriot and a saint. He stated that the new proposal being advanced would put its proponents above the Patriarch and at odds with the dictates of the church. The Defendant Radomir Buhac further complained that the proponents were splitting their community, and admonished them for (physically) fighting in the church, for cursing fellow church members, its priest, and even its Bishop. He said that persons wishing to take control of the church against the tenets of their faith, (some of whom presided over the building of the church suffering many defects, leaks, cracked foundation), should be expelled from the church as they appear motivated by self-interest rather than church interest and do not belong there.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actually stated by each of the Defendants were voiced by them on a privileged occasion being a specially convened church assembly of members of the congregation and parties interested in the scheduled deliberations.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Defendant, as a member of the church congregation, was under a moral and social duty (and in the case of the Defendant Desimir Vidovic, a contractual and fiduciary duty) to communicate their views to the attendees who had a corresponding duty to receive, or interest in, receiving them;</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stated the words as a reasonable and necessary protection of their interests as members of the congregation, and that of their church and their views were communicated bona fide, and without malice, to help the church.</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opinions communicated by each Defendant at the church assembly meeting on May 9, 2010 constitute fair comment on a matter of public interest, recognizable as such by the ordinary reasonable person. They, specifically, were participating in a debate of the future management, control and direction of the church, based on facts that are true and stating opinions that some persons could honestly express on the basis of those facts. Particulars are as follows: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 of the meeting was a specially convened church assembly to discuss church bylaws, attended by members and others interested in the scheduled exchange of views;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bylaw represented a radical departure from the long established bylaw adopted by the church and from established church doctrine;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conduct of certain of the Plaintiffs cursing and (physically) fighting in church called into question whether they belonged in a church at all.</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further state that if they have defamed the Plaintiffs or any of them, which is not admitted but expressly denied, the Defendants plead the provisions of sections 6 and 7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 xml:space="preserve"> on the basis that: their words were stated in good faith; there were reasonable ground to believe the words were for the benefit of the congregation; the words did not impute to any Plaintiff the commission of a criminal offence; the words were published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sought to calm the rhetoric on both sides by reconvening a later assembly to air the differences in civil discourse; The words complained of, or actually spoken, furthermore, are not actionable without proof of special damages which is not alleged or not sufficient to sustain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issues can be described this way: Were the words said? If the words were said, were they defamatory and, in particular, were they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Did the words that are alleged to have been said refer to the Plaintiffs? If the words were said, are referable to the Plaintiffs, and are slanderous, are there defences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Plaintiffs were long-time members of the Burnaby Serbian Orthodox Church ("Church"). They were members of the committee that was responsible for the planning of the combined church and community centre for the Church ("Construction Committee"). Mr. Vanagan is an architect with experience in dealing in that capacity with the construction industry. Mr. Gordic was the Chair of the Construction Committee. He runs a logging and manufacturing company but had undertaken the construction of two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Desimir Vidovic, is the Priest of the Church, having been appointed in October 2001. The Defendant, Radomir Buhac is also a long-time member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Church is governed by the Canadian Diocese of the Church. A Book of Regulations ("Regulations") was adopted many years ago by the Canadian Diocese. The Regulations govern the affairs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Church established a five-person committee to review the Regulations ("Bylaw Committee"). The Plaintiff, Mike Gordic, and the Defendant, Desimir Vidovic, were members of the Bylaw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Mike Gordic was of the view that it was necessary to revise the Regulations to reflect that the building that had been constructed was not only a church but also a community centre. Desimir Vidovic was of the view that the Regulations should not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Bylaw Committee met a number of times and a number of drafts of new Regulations were prepared. An attempt was made by Mike Gordic to reconcile the conflicting views of the Bylaw Committee by preparing a further draft but the new draft was not acceptable to all of the members of the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What was prepared by Mr. Gordic was sent to the Diocese in Toronto. In a March 29, 2010 letter to the "Governing Board" of the Church, the President of the Diocesan Governing Board of the Diocese made a number of statements regarding what was proposed in the draft. Those statements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Meticulously studying this Book of Regulations, our Legal Department at the Canadian Diocese reached the conclusion that there was no reason to consider a proposition for new rules which are even less in accordance with the Constitution of the Serbian Orthodox Church for North and South America (N and S Am) and also the Statute of the Canadian Diocese. It is the opinion of the Legal Department that the existing approved rules can be modified and remain in effect.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*IMPORTANT: Your PROPOSITION of the new Book of Regulations has so many shortcomings and contradictions and thus it is not worth commenting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copy of the proposed Regulations was forwarded to members of the Church and a May 9, 2010 meeting was scheduled to discuss the draft that had been prepared by Mr. Gordic.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MAY 9, 2010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meeting was conducted entirely in the Serbian language. Those in attendance included voting members who were eligible to vote because they had paid their membership fees, non-voting members of the Church, and parishioners of the Church who were defined by the Regulations to be "Serbians of the Serbian Orthodox faith residing in the region who each have an inalienable right to attend all activities of the Church". The Secretary determined that there was a quorum present as 44 out of a total of 66 voting members were in attendance. The Meeting was opened with a prayer by Desimir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One of the members of the Church who attended was Goran Evankovic. Mr. Evankovic recorded at least some of the proceedings by a handheld cell phone which he stated that he held up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evidence are Minutes prepared after the meeting, an English translation of those Minutes, and, what purports to be a transcript and the English translation of what was said to have been recorded by Mr. Evankovic.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MINUTES OF THE MAY 9, 2010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Lubomir Kotur was the Secretary at the Meeting. Minutes were prepared and were verified by two others. An English translation relating to what occurred was also prepared. The following represents the English translation of the Serbian version that was signed by the President and the Secretary: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 Zmukic presented the opening statement and the reasons for the Special Assembly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thinks that we should adopt the current Bylaw of the Diocese and that we should reject this proposal for its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Miodrag Gordic think [sic] that we should revived [sic] the Society and this way we will protect church from the possible lawsuits over the claim settlements and insurance, if an accident happens, etc. He believes that the work load in the Center is large and that priest is not capable of doing it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 Zmukic reminds that this is only a By-Law draft and that any discussion is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discussion becomes very heated and members start to talk at once.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 Zmukic suggests that father Desimir [Vidovic] calls for a Special Assembly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Mijodrag Gordic no longer wants to be a member of the Trustee-Board of the Church.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 noise, V. Zmukic (President) is leaving the Assembly, as well as some other members. Father Desimir suggests that the Vice President R. Okuka continues to administer the Assembly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Okuka proposes that a Special Assembly Meeting should be organized at the end of June in order to elect a new Board of Directors. Proposal is unanimously accepted.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Goran Stanisavljevic proposes adoption of the Bylaw of the Canadian Diocese and that this could not be changed. Comes to voting, all were in favour, except that two members did not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TRANSCRIPTS FROM THE RECORDING MADE BY MR. EVANKOVIC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Trial, Mr. Evankovic stated that he was seated about five rows from the back of the room where the meeting was held. He stated that he held a recording device in plain view above him, that he did not stop the recording device once it started, and that he did not edit what was recorded. As to why he recorded some of the proceedings, I record Mr. Evankovic as stating: "Because I experienced previous problems with some individuals so I wanted a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Evankovic stated that he took the recording device home, plugged it into his computer, and prepared a CD which he provided approximately 14 months later to Mr. Buhac and others. Regarding the transcript that was prepared from the CD, Mr. Evankovic could not tell whether it was complete or not. I record him as stating,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and during the Trial, various witnesses listened to the CD in an attempt to come to a consensus regarding the words they heard. In particular, an attempt was made to ascertain what had been said where the Serbian transcript initially noted that the words spoken were either "unintelligible" or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Nela Damjanovski is a certified translator. She is not a member of the Church. Ms. Damjanovski received a copy of the minutes and translated them. She also listened to the CD "to check for changes" and "found some words and added a few words". When asked at Trial whether there was any evidence of the recording being stopped and restarted, she stated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cross-examination, Ms. Damjanovski stated that she had relied on Mr. Vidovic to tell her the names of the people who were speaking throughout. She states that she had marked as "unclear" where voices could be heard but what was being said could not be understood. On the question of whether she had heard the words "thief" or "enemies", she stated, "not that I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the translations are the best evidence available regarding at least part of what was said on May 9, 2010. While a number of witnesses were of the view that either the recording or the CD had been edited prior to the creation of the Serbian and/or English transcriptions, I cannot reach that conclusion. I accept the evidence of Ms. Damjanovski in that regard. I find that the absence of the words complained of in any of the transcripts cannot be attributed to tampering as was alleged by witnesses, including Peter Vanagan.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it is clear that not all words spoken are set out in the transcripts. There remain a number of portions translated as "unintelligible" or "unclear". I cannot be satisfied that all of the words that were spoken that day were transcribed from what was recorded by Mr. Evankovic. As well, there are differences between the transcripts prepared. I conclude that the transcription of the CD is not a complete record of what was said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transcript, the following words are attributed to Vojislav Zmukic who was the President of the Church at the time of the May 9, 2010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made the bylaw, that is, a five-member committee, and some confusion was sown allegedly that the new bylaw goes toward some kind of separation of the centre from the Church. The bylaw was sent to everyone by mail. I will only read Article 10 as an introduction, so we don't have to discuss that at length. Article 10 says (unclear). Article 10 refers to the Serbian Centre. The goal of the Serbian Centre as part of and under the auspices of the St. Archangel Michael Serbian Orthodox Church-School Community is to maintain the vitality of the Serbian community and raise the quality of life of all Serbs living in British Columbia, (unclear) preservation of the Serbian cultural heritage. The work of the Serbian Centre is defined (unclear) a separate bylaw of the Serbian Centre adopted by the St. Archangel Michael Church-School Community at the annual meeting. The bylaw of the Serbian Centre pertains to defining (unclear) administrative management and ways of maintaining the Church. The Church-School Community has jurisdiction (unclear). </w:t>
      </w:r>
      <w:r>
        <w:rPr>
          <w:rFonts w:ascii="arial" w:eastAsia="arial" w:hAnsi="arial" w:cs="arial"/>
          <w:color w:val="000000"/>
          <w:sz w:val="20"/>
          <w:u w:val="single"/>
          <w:lang w:val="en-US" w:eastAsia="en-US" w:bidi="ar-SA"/>
        </w:rPr>
        <w:t>Let me just tell you one more thing. This is not the bylaw that has been adopted. This is a proposal of the Bylaw. This meeting called so you can give your comments and so we can see how we can further align this bylaw with our Eparchy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transcript, the following words are attributed to the Defendant, Desimir Vidovic: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About the Serbian Centre, these are all the domain of the members of this Church-School Community ... just let me finish, as far as this proposal is concerned since this committee submitted the way it submitted it, I sent to the Eparchy these rules that the three of them adopted and sent to all of us and we received a reply, and we shared it with you. Those rules are not in accordance with themselves, nor are they in accordance with the Constitution of the Canadian Eparchy or the Constitution of the Serbian Orthodox Church for America and Canada. So, that as far as we can consider that we've received the new rules of the Church-School Community and they are what we received from her Eparchy. </w:t>
      </w:r>
      <w:r>
        <w:rPr>
          <w:rFonts w:ascii="arial" w:eastAsia="arial" w:hAnsi="arial" w:cs="arial"/>
          <w:color w:val="000000"/>
          <w:sz w:val="20"/>
          <w:u w:val="single"/>
          <w:lang w:val="en-US" w:eastAsia="en-US" w:bidi="ar-SA"/>
        </w:rPr>
        <w:t>So, as far as, I see no reason to talk about anything, this Constitution will never, what they wrote, that bylaw, will never be certainly adopted by any Church and simply isn't up for discussion. All those who rally and try to push something that's against the structure of the Serbian Orthodox Church, I will certainly send all those names to the Eparchy, so they know who here is against our Serbian Orthodox Church.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transcript, the following words are attributed to the Defendant, Radomir Buhac: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Dear brothers and sisters, please listen to me kindly ... First, this is a meeting of the St. Archangel Michael Church-School Committee... we've received the bylaw signed by the late Patriarch Pavle ... I ask you, is there anyone here who can rise against that man to pretend he's smarter, that he's a bigger patriot, and that he gave more for the Serbdom, for the Church ... All his life, all his he devoted, he took nothing with him, he was buried at the Rakovica monastery, the monastery that bears the name of our Church St. Archangel Michael ... It's all ours! Today, a couple of people, not today, but for a long time, a couple of people who want to be above the canon of the Serbian Orthodox Church and the Patriarchate and everything ... They want to be in charge here ... please if you can in any way vote unconditionally for this bylaw that was signed by Patriarch Pavle, without these objections. These objections, </w:t>
      </w:r>
      <w:r>
        <w:rPr>
          <w:rFonts w:ascii="arial" w:eastAsia="arial" w:hAnsi="arial" w:cs="arial"/>
          <w:color w:val="000000"/>
          <w:sz w:val="20"/>
          <w:u w:val="single"/>
          <w:lang w:val="en-US" w:eastAsia="en-US" w:bidi="ar-SA"/>
        </w:rPr>
        <w:t>they are undermining of the members and narrow-mindedness of a group of people who want to usurp all the power in the Church and the benefits of the Church ... It's the same as removing a shroud from a dead person ... Here those people should be removed</w:t>
      </w:r>
      <w:r>
        <w:rPr>
          <w:rFonts w:ascii="arial" w:eastAsia="arial" w:hAnsi="arial" w:cs="arial"/>
          <w:color w:val="000000"/>
          <w:sz w:val="20"/>
          <w:lang w:val="en-US" w:eastAsia="en-US" w:bidi="ar-SA"/>
        </w:rPr>
        <w:t xml:space="preserve">, so they wouldn't come, so they wouldn't be seen, and not sit and make themselves important. First, here they made a church with a lot of irregularities, with a lot of defects ... various construction committees are buzzing around. </w:t>
      </w:r>
      <w:r>
        <w:rPr>
          <w:rFonts w:ascii="arial" w:eastAsia="arial" w:hAnsi="arial" w:cs="arial"/>
          <w:color w:val="000000"/>
          <w:sz w:val="20"/>
          <w:u w:val="single"/>
          <w:lang w:val="en-US" w:eastAsia="en-US" w:bidi="ar-SA"/>
        </w:rPr>
        <w:t>Those construction committees are wasting time ... the Church is leaking, the foundations are cracking, what will happen in ten years when the Church ... a little more, when it sinks?! Then they'll buy it by Dinkic's recipe, as cheaply as possible, let's grab this!</w:t>
      </w:r>
      <w:r>
        <w:rPr>
          <w:rFonts w:ascii="arial" w:eastAsia="arial" w:hAnsi="arial" w:cs="arial"/>
          <w:color w:val="000000"/>
          <w:sz w:val="20"/>
          <w:lang w:val="en-US" w:eastAsia="en-US" w:bidi="ar-SA"/>
        </w:rPr>
        <w:t xml:space="preserve"> No way ... They're separating the Centre, they're separating this, they're all like it isn't this, it isn't that ... I haven't finished. Don't raise your hand ... Please if you can vote, whoever does not vote, votes against the dead Patriarch Pavle ... Believe me, the Patriarch signed this, the man who was a saint when he walked, let alone now that he's dead, and is now and will be forever ... </w:t>
      </w:r>
      <w:r>
        <w:rPr>
          <w:rFonts w:ascii="arial" w:eastAsia="arial" w:hAnsi="arial" w:cs="arial"/>
          <w:color w:val="000000"/>
          <w:sz w:val="20"/>
          <w:u w:val="single"/>
          <w:lang w:val="en-US" w:eastAsia="en-US" w:bidi="ar-SA"/>
        </w:rPr>
        <w:t>and those who want to dishonour him and the Orthodox Church, Serbian and Christian they are sitting here among us, creating discord, fighting in the Church</w:t>
      </w:r>
      <w:r>
        <w:rPr>
          <w:rFonts w:ascii="arial" w:eastAsia="arial" w:hAnsi="arial" w:cs="arial"/>
          <w:color w:val="000000"/>
          <w:sz w:val="20"/>
          <w:lang w:val="en-US" w:eastAsia="en-US" w:bidi="ar-SA"/>
        </w:rPr>
        <w:t>. It was read now that the Church is also the Cultural Centre, that it's a place of gathering, exaltation and spirituality, the rooms are used for religious and educational purposes, and here they even want kick boxing in this Church ... What for?! They swear at the members of the Church, they swear at the Bishops, they swear at the priests, they fight ... What is this?! Is this here anarchy?! We should be ashamed, ashamed!!!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[Support and applause of the present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Shame, as big as it gets, that all Vancouver is gossiping about us because of a couple of people here ... and they hold a meeting ... </w:t>
      </w:r>
      <w:r>
        <w:rPr>
          <w:rFonts w:ascii="arial" w:eastAsia="arial" w:hAnsi="arial" w:cs="arial"/>
          <w:color w:val="000000"/>
          <w:sz w:val="20"/>
          <w:u w:val="single"/>
          <w:lang w:val="en-US" w:eastAsia="en-US" w:bidi="ar-SA"/>
        </w:rPr>
        <w:t>I think you Zmukic don't deserve to chair this meeting ... I don't know how, I don't know, to me you're (unintelligible commotion).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then this exchange between Radomir Buhac and Vojislav Zmukic set out in the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This assembly elected me... (unintelligible commotion)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God willing, you should resign, I will embarrass... I haven't finished! As far as this construction part is concerned... the Church is constantly being repaired... a newborn child non-stop being taken to the doctor... being repaired, to surgeries... What is this, is this here,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Wait, this isn't an agenda item... all this you 90% isn't...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What isn't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Not an agenda item... There is a construction committee elected by the Assembly... The Construction Committee is working... (unintelligible commotion)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It's 100% true that this bylaw should be adopted unreservedly... Patriarch Pavle signed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If you've finished, other people have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Vuk Stevovic: Wait a minute,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No, no, Vuk, it isn't your turn... let's follow the order... have you finished?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I haven't... if this isn't the proposal, what's the proposal then... To adopt the regulations, let's vote right now! We're wasting time, we're wasting time, we're looking for papers that don't exist! You put the priest in the corner... you put the [priest] on the corner, a clergyman, he should be, he's the first among equals here, he should be sitting here, with a little more respect... not only he but there are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 and applause of the present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Mijodrag Gordic: Sit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I won't sit down, you can't tell me to sit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Vuk Stevovic: Quiet, people. Everyone has the right to talk.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Vojislav Zmukic: Mijodrag Gordic asked permission to speak.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Radomir Buhac: Dear brothers and sisters... I came here and I don't need this any more, no more than you do, or anyone else. I'm, maybe, a little more knowledgeable than most of you... not that I'm trying to stand out... but, because I was in business and I understand some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Unintelligible commotion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Mijodrag Gordic: I'm here for us to preserve this for our children and for the future... You for Serbian, whether Serbian, Serbian, for our children here, to preserve this and that's why I'm here, to clarify some things. I... no one here is a bigger Serb, nor orthodoxian (Orthodox) than me... nor am I better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also this translation available from the CD that was prepared. In this translation, no attempt was made to assign names to the speakers and, accordingly, only "MV" ("male voice") is set out. The translation of the following discussion was prepared and the English translation of it follows. Where it is clear to me who is speaking, I have added the name of that party in addition to the "MV" designated in the translation: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 (shouting) Shut up! You have no right to talk!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MV: </w:t>
      </w:r>
      <w:r>
        <w:rPr>
          <w:rFonts w:ascii="arial" w:eastAsia="arial" w:hAnsi="arial" w:cs="arial"/>
          <w:i/>
          <w:color w:val="000000"/>
          <w:sz w:val="20"/>
          <w:lang w:val="en-US" w:eastAsia="en-US" w:bidi="ar-SA"/>
        </w:rPr>
        <w:t>(not audible)</w:t>
      </w:r>
      <w:r>
        <w:rPr>
          <w:rFonts w:ascii="arial" w:eastAsia="arial" w:hAnsi="arial" w:cs="arial"/>
          <w:color w:val="000000"/>
          <w:sz w:val="20"/>
          <w:lang w:val="en-US" w:eastAsia="en-US" w:bidi="ar-SA"/>
        </w:rPr>
        <w:t xml:space="preserve"> in connection with this proposal that the Committee suggested, we received an answer, which we gave to all of you. Those regulations that had been prepared were not accepted. The instructions we received from our Patriarchy in connection with these regulations will not be accepted in any of the churches.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 We know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MV [Desimir Vidovic]: </w:t>
      </w:r>
      <w:r>
        <w:rPr>
          <w:rFonts w:ascii="arial" w:eastAsia="arial" w:hAnsi="arial" w:cs="arial"/>
          <w:color w:val="000000"/>
          <w:sz w:val="20"/>
          <w:u w:val="single"/>
          <w:lang w:val="en-US" w:eastAsia="en-US" w:bidi="ar-SA"/>
        </w:rPr>
        <w:t>These who are getting together here and trying to push through some of their plans, I will take their names and send them to our Eparchy of the Serbian Orthodox Church, so that everybody knows who is working against the Serbian Orthodox Church.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MV [Radomir Buhac]: To start with, this is a meeting of St. Archangel Michael Serbian Orthodox Church. The regulations that are signed by the late Patriarch Pavle, and I am asking you -- is anyone here that can stand up against this man and make himself a smarter, bigger patriot, who contributed more to the Serbian legacy, to the church?! He dedicated all his life to it and took nothing for himself. He was buried in the monastery of Rakovica that carries the name of St. Archangel Michael, which is the name of our church, and that is all ours. Today, and not only today, a few people want to be above our Orthodox Church and Patriarchy. They want all and they want to be in charge. I beg you to accept these regulations that Patriarch Pavle signed, without any comments, because any type of comments will ruin our membership. </w:t>
      </w:r>
      <w:r>
        <w:rPr>
          <w:rFonts w:ascii="arial" w:eastAsia="arial" w:hAnsi="arial" w:cs="arial"/>
          <w:color w:val="000000"/>
          <w:sz w:val="20"/>
          <w:u w:val="single"/>
          <w:lang w:val="en-US" w:eastAsia="en-US" w:bidi="ar-SA"/>
        </w:rPr>
        <w:t>Because these people want to grab the command of the church and these people have to be removed and never come back. To start with, they made here so many wrong doings, they formed a construction committee, they are wasting time. Church's roof is leaking, foundations are cracking. What is going to be in 10 years then, will this Church sink a little more? They will buy it very cheap. That cannot happen. They are separating the Centre and everything else from the Church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(not audible)</w:t>
      </w:r>
      <w:r>
        <w:rPr>
          <w:rFonts w:ascii="arial" w:eastAsia="arial" w:hAnsi="arial" w:cs="arial"/>
          <w:color w:val="000000"/>
          <w:sz w:val="20"/>
          <w:lang w:val="en-US" w:eastAsia="en-US" w:bidi="ar-SA"/>
        </w:rPr>
        <w:t>. I did not finish!!!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may or may not have been a physical confrontation between some people who were at the meeting that day. In any event, chaos ensued at a certain point in the meeting. After calm was restored, the meeting continued although not all of those in attendance at the beginning of the meeting remained in attendance. A transcript is not available for this last part of the meeting. Eventually the proposed new Regulations were rejected by a vote of 42 members with 2 abstaining.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REQUEST FOR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Plaintiffs wrote to the Defendants on July 14, 2010 demanding an apology. The alleged defamation of Radomir Buhac was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May 9, 2010, at a meeting of over 60 members of the Church, you publicly accused our clients of being "lopovi", which translates to "thieves", and went on to say (in Serbian) that it was time to kick them out of the Church. These statements were false and constitute a very serious defamation against our clients, for which you can be held liable for significant damages. You have accused our clients of criminal wrongdoing in front of their Church community, knowing that such a dramatic statement is likely to be repeated over and over, badly damaging our clients' reputations now and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July 14, 2010 letter, the alleged defamation of Desimir Vidovic was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May 9, 2010, at a meeting of over 60 members of the Church, you publicly accused our client, Miladin (Mike) Gordic of being an "enemy of the church" or "neprijatelji crkve" in the Serbian language. This statement is false and constitutes a very serious defamation against Mr. Gordic, for which you can be held liable for significant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no apology was forthcoming from the Defendants, this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[2009] 3 S.C.R. 640</w:t>
        </w:r>
      </w:hyperlink>
      <w:r>
        <w:rPr>
          <w:rFonts w:ascii="arial" w:eastAsia="arial" w:hAnsi="arial" w:cs="arial"/>
          <w:color w:val="000000"/>
          <w:sz w:val="20"/>
          <w:lang w:val="en-US" w:eastAsia="en-US" w:bidi="ar-SA"/>
        </w:rPr>
        <w:t>, McLachlin C.J. made these statements to provide a summary of the law of defamation and of the defences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The plaintiff is not required to show that the defendant intended to do harm, or even that the defendant was careless. The tort is thus one of strict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proves the required elements, the onus then shifts to the defendant to advance a defence in order to escape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If the words are defamatory, the law presumes them to be false and damages are presumed regardless of whether anyone actually believed the statements or thought worse of the plaintiff. In </w:t>
      </w:r>
      <w:r>
        <w:rPr>
          <w:rFonts w:ascii="arial" w:eastAsia="arial" w:hAnsi="arial" w:cs="arial"/>
          <w:i/>
          <w:color w:val="000000"/>
          <w:sz w:val="20"/>
          <w:lang w:val="en-US" w:eastAsia="en-US" w:bidi="ar-SA"/>
        </w:rPr>
        <w:t>Kerr v. Conlogue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(1992), 65 B.C.L.R. (2d) 70</w:t>
        </w:r>
      </w:hyperlink>
      <w:r>
        <w:rPr>
          <w:rFonts w:ascii="arial" w:eastAsia="arial" w:hAnsi="arial" w:cs="arial"/>
          <w:color w:val="000000"/>
          <w:sz w:val="20"/>
          <w:lang w:val="en-US" w:eastAsia="en-US" w:bidi="ar-SA"/>
        </w:rPr>
        <w:t xml:space="preserve"> (S.C.), Sinclair Prowse J. made these statements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onus on the plaintiff to prove that reasonable people actually understood the words in a defamatory sense. Rather the plaintiff is only required to prove that the ordinary reasonable person might have understood it in a defamatory sense. The plaintiff does not have to prove that persons to whom it was published in fact did think less of him; indeed a person may be defamed even those to whom the statement is published know it to be untrue (</w:t>
      </w:r>
      <w:r>
        <w:rPr>
          <w:rFonts w:ascii="arial" w:eastAsia="arial" w:hAnsi="arial" w:cs="arial"/>
          <w:i/>
          <w:color w:val="000000"/>
          <w:sz w:val="20"/>
          <w:lang w:val="en-US" w:eastAsia="en-US" w:bidi="ar-SA"/>
        </w:rPr>
        <w:t>Hough v. London Express Newspapers Ltd.</w:t>
      </w:r>
      <w:r>
        <w:rPr>
          <w:rFonts w:ascii="arial" w:eastAsia="arial" w:hAnsi="arial" w:cs="arial"/>
          <w:color w:val="000000"/>
          <w:sz w:val="20"/>
          <w:lang w:val="en-US" w:eastAsia="en-US" w:bidi="ar-SA"/>
        </w:rPr>
        <w:t>, [1940] 2 K.B. 507, [1940] 3 All E.R. 31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presumption of damages only applies if the words fall into one of the categories of slander "per se". The categories of words which are actionable per se were described by Adair, J. in </w:t>
      </w:r>
      <w:r>
        <w:rPr>
          <w:rFonts w:ascii="arial" w:eastAsia="arial" w:hAnsi="arial" w:cs="arial"/>
          <w:i/>
          <w:color w:val="000000"/>
          <w:sz w:val="20"/>
          <w:lang w:val="en-US" w:eastAsia="en-US" w:bidi="ar-SA"/>
        </w:rPr>
        <w:t>Marley v. Kains</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2011 BCSC 1306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Slander (which is oral defamation) requires proof of special damages, unless the impugned words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There are four recognized categories of slander where damages are presumed to have been suffered from the very nature of the words, and thus are instances of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see R. 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(loose-leaf)), at pp. 8-23 and 8-24. The two categories on which Mr. Marley relies are: (1) oral imputations calculated to disparage the reputation of the plaintiff in the way of his or her work, business, office, calling, trade or profession; and (2) accusations imputing the commission of a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61)</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Were the statements made about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Where a defamatory statement is made about a small group and the members of that group are identifiable with the defamation by a reasonable person, the element of identification is established. In order for a plaintiff to succeed, a plaintiff must establish on a balance of probabilities that the words would reasonably be understood to be defamatory of the particular plaintiff. In </w:t>
      </w:r>
      <w:r>
        <w:rPr>
          <w:rFonts w:ascii="arial" w:eastAsia="arial" w:hAnsi="arial" w:cs="arial"/>
          <w:i/>
          <w:color w:val="000000"/>
          <w:sz w:val="20"/>
          <w:lang w:val="en-US" w:eastAsia="en-US" w:bidi="ar-SA"/>
        </w:rPr>
        <w:t>Manno v. Henry</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[2008] B.C.J. No. 1057</w:t>
        </w:r>
      </w:hyperlink>
      <w:r>
        <w:rPr>
          <w:rFonts w:ascii="arial" w:eastAsia="arial" w:hAnsi="arial" w:cs="arial"/>
          <w:color w:val="000000"/>
          <w:sz w:val="20"/>
          <w:lang w:val="en-US" w:eastAsia="en-US" w:bidi="ar-SA"/>
        </w:rPr>
        <w:t xml:space="preserve"> (S.C.), Grauer J. made this statement regarding the law on identification by reference to small groups: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seminal case of </w:t>
      </w:r>
      <w:r>
        <w:rPr>
          <w:rFonts w:ascii="arial" w:eastAsia="arial" w:hAnsi="arial" w:cs="arial"/>
          <w:i/>
          <w:color w:val="000000"/>
          <w:sz w:val="20"/>
          <w:lang w:val="en-US" w:eastAsia="en-US" w:bidi="ar-SA"/>
        </w:rPr>
        <w:t>Knuppfer v. London Express Newspaper, Ltd.,</w:t>
      </w:r>
      <w:r>
        <w:rPr>
          <w:rFonts w:ascii="arial" w:eastAsia="arial" w:hAnsi="arial" w:cs="arial"/>
          <w:color w:val="000000"/>
          <w:sz w:val="20"/>
          <w:lang w:val="en-US" w:eastAsia="en-US" w:bidi="ar-SA"/>
        </w:rPr>
        <w:t xml:space="preserve"> [1944] A.C. 116 at 119-121, Viscount Simon L.C. addressed the issue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 is not named, the test which decides whether the words used referred to him is the question whether the words are such as would reasonably lead persons acquainted with the plaintiff to believe that he was the person referred to. There are cases in which the language used in reference to a limited class may be reasonably understood to refer to every member of the class, in which case every member may have a cause of action. A good example is </w:t>
      </w:r>
      <w:r>
        <w:rPr>
          <w:rFonts w:ascii="arial" w:eastAsia="arial" w:hAnsi="arial" w:cs="arial"/>
          <w:i/>
          <w:color w:val="000000"/>
          <w:sz w:val="20"/>
          <w:lang w:val="en-US" w:eastAsia="en-US" w:bidi="ar-SA"/>
        </w:rPr>
        <w:t>Browne v. D.C. Thomson &amp; Co.</w:t>
      </w:r>
      <w:r>
        <w:rPr>
          <w:rFonts w:ascii="arial" w:eastAsia="arial" w:hAnsi="arial" w:cs="arial"/>
          <w:color w:val="000000"/>
          <w:sz w:val="20"/>
          <w:lang w:val="en-US" w:eastAsia="en-US" w:bidi="ar-SA"/>
        </w:rPr>
        <w:t>, 1912 S.C. 359, where a newspaper article stated in Queenstown "instructions were issued by the Roman Catholic religious authorities that all Protestant shop assistants were to be discharged," and where seven pursuers who have averred that they were the sole persons who exercised religious authority in the name and on behalf of the Roman Catholic Church in Queenstown were held entitled to sue for libel as being individually defamed.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Here, there was testimony from several witnesses as well as examination for discovery admissions that both Plaintiffs were well known within the Church community as members of, if not the principal members of, the Construction Committee. There was a plaque in the Church for the Construction Committee with their photos and names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his Examination for Discovery, Radomir Buhac was asked the following questions and gave the following answers regarding whether the Plaintiffs were well known members of the Construction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will agree with me that when a person referred to "the construction committee," many people knew that meant Miladin Gordic, Peter Vanagan and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were a lot of people who were building and there were a lot of other construction committees for maintenance for this, for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point is that Peter and Miladin were well known to be the initiators of the construction committee?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words of Radomir Buhac were clear. He was referring to the "Construction Committee". I find that it was well known within the Church that both Plaintiffs were on the Construction Committee and that Mr. Gordic chaired or was the "President" of the Construction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the evidence at Trial, I find that it was reasonably understood by all of those in attendance at the Meeting that the references by Radomir Buhac about the alleged failures of the Construction Committee and the possibility that the property would be purchased "by Dinkic's recipe" were directed at the Plaintiffs. I find that any reasonable person in attendance would know that the references to the Construction Committee referred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Regarding the Bylaw Committee and those who were supporting change, there was testimony from several witnesses that Mr. Gordic was well known as being on the Bylaw Committee and as having prepared the draft Regulations that were being considered. It was also clear that Mr. Gordic was supporting the proposed changes in the Regulations. Those in attendance who were acquainted with Mr. Gordic would reasonably come to the conclusion that Mr. Vidovic was referring to Mr. Gordic in the comments he made about the Bylaw Committee, the Regulations that had been drafted, and those who supported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find that the references to those on the Bylaw Committee and the Construction Committee were references to the Plaintiffs. The leading role of both Plaintiffs on the Construction Committee and of Mr. Gordic on the Bylaw Committee establishes identification within the test described in </w:t>
      </w:r>
      <w:r>
        <w:rPr>
          <w:rFonts w:ascii="arial" w:eastAsia="arial" w:hAnsi="arial" w:cs="arial"/>
          <w:i/>
          <w:color w:val="000000"/>
          <w:sz w:val="20"/>
          <w:lang w:val="en-US" w:eastAsia="en-US" w:bidi="ar-SA"/>
        </w:rPr>
        <w:t>Manno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questions which then arise are whether the statements attributed to the Defendants were actually said by them and whether the statements were or were not slanderous and/or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Allegation that Radomir Buhac stated the Plaintiffs were thieves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satisfied that it is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to say that someone is a "lopovi" ("thief"). To describe someone as a thief very much lowers the reputation of that person in the eyes of a reasonable person. Damages can be presumed. If I find that the word "lopovi" was used by Mr. Buhac, I will find that the Plaintiffs have been defamed and that it was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can find no such reference to the word "lopovi" or the word "thief" in the Minutes that were prepared or in the transcript from the CD. However, there are confirmations of the use of that word in the testimony of witnesses at Trial. There are also references to the use of the word in the Examination for Discovery of Mr. Vidovic where he was asked the following questions and gave the following answers: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Do you remember him [Radomir Buhac] referring to the members of the church construction committee as lopovi?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During that meeting we were talking as members. We were using the words normally whoever knew what word at that moment. I did not hear that Radomir Buhac insulted any one of the members directly or that he called any one of the members lopovi.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INTERPRETER: Should I translate the word lopovi?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BURNETT: Well, yes please.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INTERPRETER: Thief.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But we in our congregation have enough unexplained things which were occurring within our parish. One of those things was the construction of the new church and money that was being spent and the money that we received, which means the way the building -- in what stage it was or the way it looked.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We're now outside the question I asked, so I'll stop. Did you hear Mr. Buhac say lopovi?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also remember Mr. Buhac saying "it was time to kick them out of the church"? In Serbian, obviously.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am not able to repeat the exact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Unfortunately, a review of those questions and answers produces some uncertainty. At one point, Mr. Vidovic states that he did not hear the word "lopovi" used "during that Meeting" and he later answers "I have" to the question of whether he heard Mr. Buhac say "lopovi". It is not clear from the latter answer whether he was saying Mr. Buhac said that word at the Meeting or whether he was saying that he had previously heard that word being said by Mr. Buhac. However, in the context of the questions being asked, I am satisfied that Mr. Vidovic was confirming that Mr. Buhac did use the word "lopovi" at the Meeting in reference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number of witnesses at Trial stated that they heard the word being said by Mr. Buhac. Vuk Stevovic gave evidence for the Plaintiffs. Mr. Stevovic testified that he sat in the rear left corner of the room. I record him as stating that he heard Mr. Buhac use the word "lopovi" in reference to what the Plaintiffs had "done to the Church", that Mr. Buhac used the word "lopovi" at the outset of his remarks to the Meeting, and that he called the people who were responsible for construction of the Church building "lopovi". I record Mr. Stevovic as stating that the use of the word "lopovi" happened about the second half of the second page of the English translation of the transcript of the CD. He described the words used by Radomir Buhac as follows: "you stole", "the Church's leaking walls are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Trial, Vojislav 381;mukic stated that he had been a member of the Bylaw Committee, that he was promoting the adoption of the new bylaws, and that he was the President of the Church at the time of the Meeting. He stated that Mr. Buhac was the first to speak, that he "spoke about the construction", that those on the Construction Committee "deliberately led the Church to disaster", and that he used the word "lopovi" in reference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Vanagan testified he was an architect, the honorary consul for Serbia, had served on the Construction Committee, and had also served on the Bylaw Committee. I record Mr. Vanagan as testifying that Mr. Buhac looked directly at him and said words to the effect that the members of the Construction Committee were "thieves". Mr. Buhac was looking "at me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Trial, Mr. Gordic insisted that he also heard Mr. Buhac state that members of the Construction Committee were "lopovi". When faced with the fact that the CD did not support this contention, Mr. Gordic's response was that pieces of the recording were missing "looked like someone manipulated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other hand, Petar Atanackovic stated that he did not hear the word "thief" spoken. Mr. Atanackovic is a professional engineer and became a member of the Church after construction was completed. Mr. Atanackovic stated that he had assisted in the preparation of the Serbian language transcription of the CD that came to Mr. Buhac from Mr. Evankovic. At Trial, Mr. Vidovic testified that he was sitting behind the row that was occupied by Mr. Buhac, that he did not hear him use the word "lopovi", and that he had listened to the CD several times and did not hear the word "lopovi".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Trial, I record Mr. Buhac as being asked whether he had ever used the word "thief" and as replying "never". I record him being asked whether he had any reason to believe that the Plaintiffs were "thieves" and him as stating "I've no reason to think about that", "I didn't and I don't believe". I record him as being asked to confirm that he had "no reason to believe that they were dishonourable", and I record him as confirming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Despite the fact that the word "thief" cannot be found in the Minutes or in the transcripts, I am satisfied that the Plaintiffs have shown on a balance of probabilities that the word was said by the Defendant, Radomir Buhac and that he was referring to the Plaintiffs when he said the word. Too many people heard the word used to rebut the assumption that, because it did not appear on the transcript, it was not said. Mr. 381;mukic chaired the meeting and I am satisfied that he was in the best position to hear what was said. He heard the word being used, as did both Plaintiffs and two witnesses who appeared for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well, I discount the testimony of Mr. Buhac who was asked whether he had ever used the word "lopovi" and he replied "never". I find this to have been contradicted by the testimony of Mr. Vidovic who testified that he had heard Mr. Buhac use that word. As well, I found Mr. Buhac not to be a satisfactory witness. His testimony was evasive and sometimes non-responsive. Accordingly, I prefer the evidence of those who heard the word "lopovi" to those who swore under oath that they did not hear it said or of Mr. Buhac who denied having said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Regarding the absence of the word "lopovi" in the transcripts, I am satisfied that the word was said during the numerous times when the transcript merely reflects the word "unclear" or "unintelligible". In that regard, I find it more than likely that the use of the word would have produced a reaction from those in attendance protesting the use of the word and all of these voices at once resulted in the word not being discernible and therefore not reflected in the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the word "lopovi" was said by Mr. Buhac, that he was referring to the Plaintiffs when he used that word, and that the use of the word connoting a criminal act is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so that the Plaintiffs are entitled to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Allegation that the Plaintiffs would buy the property "by Dinkic's recipe" as cheaply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Regarding the statement that someone would follow "Dinkic's recipe" and purchase "as cheaply as possible", I find that this phrase was spoken by Mr. Buhac. It is clear from the transcript that he said it and Mr. Buhac does not deny that the phrase was used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and the Defendants led evidence about Mladjan Dinkic, who became a Governor of the National Bank of Yugoslavia in 2000, the Minister for Finances from 2004 to November 2006, the Minister of Economy and Regional Development in 2007, and the Vice President of the Government of the Republic of Serbia in 2008. Vojislav 381;mukic was recalled on behalf of the Plaintiffs. He testified that he had read various articles, that the articles that he read were from publications controlled by political parties, and that he was of the view that Mr. Dinkic was viewed in the Serbian community as being corrupt. Ljubomir Kotur was called on behalf of the Defendants. Mr. Kotur had been a member of the Church since 2006, was the Secretary in 2011, and is presently the President of the Church. I record him as stating that there was "a high opinion of him" in Serbia, as he had converted the previous system to a "free market system" and "everyone appreciated him in Serbia."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testimony of Mssrs. 381;mukic and Kotur were based on hearsay and merely show that there is a division within the Serbian community regarding the career of Mr. Dinkic. Whether or not the reference to "Dinkic's recipe" was known widely within the Serbian community or by those in attendance at the Meeting, I am satisfied that the statement to the effect that those on the Construction Committee intended to buy the property "as cheaply as possible" because of the alleged deterioration of the Church building are the words which I must consider are defamatory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statement of Mr. Buhac that the Plaintiffs had produced a building that had so many problems that the Plaintiffs would be able to buy it later at a lower price is a ridiculous statement which cannot be supported by facts. Although ridiculous, I find that the Plaintiffs have been defamed by the statement made. To suggest that an architect who also served on the Construction Committee and the Chairman of the Construction Committee had a plan all along or had recently concocted a plan to use their inadequate work to drive down the value of the property so that they could purchase for personal profit, lowers the reputation of both Plaintiffs in the eyes of a reasonable person hearing what was said by Mr. Buhac that day. I am satisfied that the phrase disparaged the reputation of the Plaintiffs generally and that the words amounted to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Vanagan is an architect and the words disparage his reputation as an architect. As well, because of the relationship of Mr. Vanagan to the Church, the words amount to an allegation that he breached duties he owed to the Church and its members. While the words do not disparage the reputation of Mr. Gordic in the way of his work, trade, or profession, I nevertheless find that the words are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as they allege either a criminal act and/or a breach of fiduciary duties owed by Mr. Gordic to the Church and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reasonable person in attendance at the Meeting would have understood the words to be used in a defamatory sense. I find that the phrase relating to "Dinkic's recipe"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so that both Plaintiffs are entitled to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Allegation that Desimir Vidovic said that Miladin Gordic was an enemy of the Church and that he would recommend that Mr. Gordic be expelled from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Regarding a statement that someone was an "enemy to the Church" and that he was "against the Church", if I can find that the words were actually said, I will find that the words are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Words about a religious adherent that he or she is an enemy of the Church and that he or she will be reported to higher ups in the Church disparages the reputation of that person in the eyes of a reasonable person within the religion of that adherent. The words disparage their religious beliefs and commitment to the Church. If I find that the words were said, I am satisfied that there can be no innocent interpretation given to an intention to advise the diocese of a church. It can only mean that there would be a recommendation that the person be expelled from the Church. The words used were all that more hurtful and slanderous if said by the priest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regard, the Book of Regulations that governs the activities of Mr. Vidovic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(be) a member...(ones) moral orientation (must not) clash with the traditional values of the Serbian Orthodox faith." (Article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"...membership is cancelled...for..."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"Damaging the reputation and interests of the Church by actions of the members" (Article 9), or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fulfill his/her religious and financial obligation." (Article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religious/financial obligations include "To comply and obey the rules of this Book of Regulations of the Church-School and the decisions of Diocesan authorities and higher bodies of the Serbian Orthodox Church." (Article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transcript available allows me to conclude that the following words were said by Mr. Vidovic: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bylaw will never be certainly adopted by [the] Church and simply isn't up for discussion. All those who rally and try to push something that's against the structure of the Serbian Orthodox Church, I will certainly send all those names to the Eparchy, so they know who here is against our Serbian Orthodox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not attributed to Mr. Vidovic and only noted as being in "MV", I am satisfied that the following words are a slightly different version of what was said by Mr. Vidovic: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who are getting together here and trying to push through some of their plans, I will take their names and send them to our Eparchy of the Serbian Orthodox Church, so that everybody knows who is working against the Serbian Orthodox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to whether the phrase "enemy of the church" was said or not, it is not surprising that the testimony of the witnesses is inconsistent. I record Vuk Stevovic as stating that Mr. Vidovic stated that he would "send a letter to the head guy to get rid of us -- kick us out as "those against him" were in "destroying the church" and that he was directly pointing at the Plaintiffs when he made that statement. I record Vojislav 381;mukic as stating that Mr. Vidovic said: "These people are enemies of the church"; "he was going to submit the names of those supporting the changes"; and that "they should be removed as members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record Mr. Vanagan as stating that Mr. Vidovic stated at the Meeting: "People who propose the bylaw were enemies of the church". At Trial, I record Mr. Gordic as stating that Mr. Vidovic said: "Members who voted for this are enemies of the church and he was going to contact the bishop to have them expelled from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record Goran Stanisavljevic as stating that he did not hear Mr. Vidovic say the words "enemy of the church". I record Petar Atanackovic as stating that Mr. Vidovic said: "If those who spoke against the church, they will be enemies of the church". However, he also stated that "it was a warning and not directed to anyone". Later under cross-examination, Mr. Atanackovic admitted that he had spoken to counsel for the Defendants after his direct examination as well as reviewing the transcript and that he was now testifying that the actual words used by Mr. Vidovic were that the Defendants were "against the Church" rather than that were "enemies of the Church". I give very little credibility to what was stated by Mr. Atanackovic. It is clear to me that he remains confused as to what he did or did not hear Mr. Vidovic state. I find that the credibility of his testimony is very clouded by the "correction" he made after he spoke to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Vidovic was asked at Trial whether he heard Mr. Buhac state words to the effect that it was "time to kick them out of the Church". I record him as stating: "I can't remember the exact words but something like that." As to whether he heard him say words such as they had "brought the church to collapse", he stated "I don't remember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the transcript sets out that Mr. Buhac stated "those people should be removed" and because of the Serbian transcript relating to the CD having been available to Mr. Vidovic for a number of years, it is inconceivable that his memory is such that he could not remember what had been said by Mr. Buhac. I take this to be indicative of the selective memory of Mr. Vidovic as to what was said and what was not said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Under cross-examination at Trial, Mr. Vidovic confirmed that he had used the words "all those who rally and try to push something that's against the structure of the Serbian Orthodox Church" and "I will certainly send all those names to the Eparchy, so they know who here is against our Serbian Orthodox Church". However, he denied that he had stated that the Plaintiffs were "enemies of the Church" and that they should be expelled. Mr. Vidovic also stated that he was not referring to the Plaintiffs but to "all people who do not respect the rules of the Church". I also record him as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was that everyone who does not respect the rules of the Church and those who try to bring about changes to the rules that are not showing respect for the Church "should follow the rules", "if not follow the rules then we cannot be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speech I didn't mention anyone by name and when I said it I meant those not following the rules of the church. I thought that anyone not following the rules should be kicked out -- behaviour not in accordance with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asked whether he was referring to the three members of the Bylaw Committee who made the bylaw proposal when he used the words that were quoted, he responded "yes". However, when he was asked whether the reference to "those names" referred to people including the Plaintiffs, he paused for a long time and then stated "I do not admit that". This answer was somewhat indicative of most of the testimony of Mr. Vidovic. I found him to be vague and evasive throughout. It is clear that the Plaintiffs were in favour of the changes to the Regulations and that Mr. Gordic had prepared the draft changes. To not admit that the Plaintiffs were included within the possibility that "those names" would be referred to the Eparchy is an evasion which reinforces my finding that Mr. Vidovic was not a forthright witness. Mr. Vidovic was equally evasive when asked whether he had used the phrase "enemy of the church". I record him as stating: "I don't remember that I used this phrase". However, when he was asked whether he had "perhaps" used the phrase, he then stated: "I did not use the phrase".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Buhac said words to the effect that those who wanted to usurp the power in the Church "should be removed". At the same time, Mr. Vidovic stated that the changes to the Regulations were not "up for discussion" and that those who tried to push something that was against the structure of the Church required him to "send all those names to the Eparchy, "so they know who here is against our Serbian Orthodox Church". Pursuant to the Regulations in effect, Mr. Vidovic was aware that membership in the Church could be "cancelled" if a member was damaging "... the reputation and interests of the Church ..." or was not complying with and obeying the Regulations and the decisions of the Diocesan authorities and higher bodies of the Serbian Orthodox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Both Plaintiffs were awarded the "Order of St. Sava" at the March 2005 opening of the Church for their efforts on the creation of the new building. I am satisfied that both Plaintiffs were very proud of that designation and of their involvement, accomplishments, and stature within the Church. To suggest that they were "against the Church" because they were supporting changes to the Regulations" would be very hurtful.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the words of Mr. Vidovic that he would send the names of those were "against the structure of the Serbian Orthodox Church" are slanderous as they tend to lower the reputation of Mr. Gordic in the eyes of a reasonable observer who was in attendance at the Meeting that day or who may have heard from those in attendance what had been said by Mr. Vidovic about Mr. Gordic.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I conclude that the phrase "enemy of the Church" was used, I do not have to make that finding in order to conclude that the use of the words that those who are "against the structure of the Serbian Orthodox Church" are of the same effect and that Mr. Gordic comes within the group being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conclude that the words used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 find that Mr. Gordic was defamed by the words used by Mr. Vidovic and is entitled to damages flowing from the slander unless there are defences available to Mr.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POSSIBLE DEFENCES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onus is on a defendant to prove the truth or substantial truth of the defamatory imputations arising from the words found to have been published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33). There was no evidence led to support the conclusion that the Plaintiffs were "thieves", that they had arranged for the value of the Church to diminish in order that they could purchase it cheaply, or that there were grounds to require Mr. Vidovic to report them to the Diocese. Indeed, both Defendants disavowed making the statements and made no attempt to claim them to be true. Accordingly, I find no truth or substantial truth in the statements that I find were made. The defence of justification is not available to the Defendants.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questions dealing with this defence are (a) whether the words were published on an occasion of qualified privilege and (b) whether a defendant honestly believed the words to be true; (c) if so, was the occasion exceeded either by referring to subject matter not connected to the occasion or by publication to people outside the occasion; and (d) if the defence remains, is it lost as a result of malice. (See </w:t>
      </w:r>
      <w:r>
        <w:rPr>
          <w:rFonts w:ascii="arial" w:eastAsia="arial" w:hAnsi="arial" w:cs="arial"/>
          <w:i/>
          <w:color w:val="000000"/>
          <w:sz w:val="20"/>
          <w:lang w:val="en-US" w:eastAsia="en-US" w:bidi="ar-SA"/>
        </w:rPr>
        <w:t>Turco v. Dunlop</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[1998] B.C.J. No. 2711</w:t>
        </w:r>
      </w:hyperlink>
      <w:r>
        <w:rPr>
          <w:rFonts w:ascii="arial" w:eastAsia="arial" w:hAnsi="arial" w:cs="arial"/>
          <w:color w:val="000000"/>
          <w:sz w:val="20"/>
          <w:lang w:val="en-US" w:eastAsia="en-US" w:bidi="ar-SA"/>
        </w:rPr>
        <w:t xml:space="preserve"> (S.C.), at para. 44; </w:t>
      </w:r>
      <w:r>
        <w:rPr>
          <w:rFonts w:ascii="arial" w:eastAsia="arial" w:hAnsi="arial" w:cs="arial"/>
          <w:i/>
          <w:color w:val="000000"/>
          <w:sz w:val="20"/>
          <w:lang w:val="en-US" w:eastAsia="en-US" w:bidi="ar-SA"/>
        </w:rPr>
        <w:t>McQuaig v. Harbour Financial Inc.</w:t>
      </w:r>
      <w:r>
        <w:rPr>
          <w:rFonts w:ascii="arial" w:eastAsia="arial" w:hAnsi="arial" w:cs="arial"/>
          <w:color w:val="000000"/>
          <w:sz w:val="20"/>
          <w:lang w:val="en-US" w:eastAsia="en-US" w:bidi="ar-SA"/>
        </w:rPr>
        <w:t xml:space="preserve"> (2009), </w:t>
      </w:r>
      <w:hyperlink r:id="rId387" w:history="1">
        <w:r>
          <w:rPr>
            <w:rFonts w:ascii="arial" w:eastAsia="arial" w:hAnsi="arial" w:cs="arial"/>
            <w:i/>
            <w:color w:val="0077CC"/>
            <w:sz w:val="20"/>
            <w:u w:val="single"/>
            <w:shd w:val="clear" w:color="auto" w:fill="FFFFFF"/>
            <w:lang w:val="en-US" w:eastAsia="en-US" w:bidi="ar-SA"/>
          </w:rPr>
          <w:t>18 Alta L.R. (5th) 83</w:t>
        </w:r>
      </w:hyperlink>
      <w:r>
        <w:rPr>
          <w:rFonts w:ascii="arial" w:eastAsia="arial" w:hAnsi="arial" w:cs="arial"/>
          <w:color w:val="000000"/>
          <w:sz w:val="20"/>
          <w:lang w:val="en-US" w:eastAsia="en-US" w:bidi="ar-SA"/>
        </w:rPr>
        <w:t xml:space="preserve"> (Q.B.) at para. 85, and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(2009), 99 B.C.L.R. (4th) 214</w:t>
        </w:r>
      </w:hyperlink>
      <w:r>
        <w:rPr>
          <w:rFonts w:ascii="arial" w:eastAsia="arial" w:hAnsi="arial" w:cs="arial"/>
          <w:color w:val="000000"/>
          <w:sz w:val="20"/>
          <w:lang w:val="en-US" w:eastAsia="en-US" w:bidi="ar-SA"/>
        </w:rPr>
        <w:t xml:space="preserve"> (C.A.) at paras. 20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onus is on the Defendants to show that the occasion was one in which the speaker and those hearing the information had a reciprocal duty of a moral, legal or social nature to make and receive the communication. Reciprocity is essential. In </w:t>
      </w:r>
      <w:r>
        <w:rPr>
          <w:rFonts w:ascii="arial" w:eastAsia="arial" w:hAnsi="arial" w:cs="arial"/>
          <w:i/>
          <w:color w:val="000000"/>
          <w:sz w:val="20"/>
          <w:lang w:val="en-US" w:eastAsia="en-US" w:bidi="ar-SA"/>
        </w:rPr>
        <w:t>Amalgamated Transit Union v. Independent Canadian Transit Union</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[1997] 5 W.W.R. 662</w:t>
        </w:r>
      </w:hyperlink>
      <w:r>
        <w:rPr>
          <w:rFonts w:ascii="arial" w:eastAsia="arial" w:hAnsi="arial" w:cs="arial"/>
          <w:color w:val="000000"/>
          <w:sz w:val="20"/>
          <w:lang w:val="en-US" w:eastAsia="en-US" w:bidi="ar-SA"/>
        </w:rPr>
        <w:t xml:space="preserve"> (Alta Q.B.), Lutz J. stated "the law places very stringent boundaries on this defence in an attempt to balance competing public and private interests" (para.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Corey J. on behalf of the Court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Qualified privilege may also be defeated when the limits of the duty or interest have been exceeded. See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13-193 and 13-194; Salmond and Heuston on the </w:t>
      </w:r>
      <w:r>
        <w:rPr>
          <w:rFonts w:ascii="arial" w:eastAsia="arial" w:hAnsi="arial" w:cs="arial"/>
          <w:i/>
          <w:color w:val="000000"/>
          <w:sz w:val="20"/>
          <w:lang w:val="en-US" w:eastAsia="en-US" w:bidi="ar-SA"/>
        </w:rPr>
        <w:t>Law of Torts (20th ed. 1992)</w:t>
      </w:r>
      <w:r>
        <w:rPr>
          <w:rFonts w:ascii="arial" w:eastAsia="arial" w:hAnsi="arial" w:cs="arial"/>
          <w:color w:val="000000"/>
          <w:sz w:val="20"/>
          <w:lang w:val="en-US" w:eastAsia="en-US" w:bidi="ar-SA"/>
        </w:rPr>
        <w:t xml:space="preserve">, at pp. 166-67. As Loreburn E. stated at p. 320-21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xml:space="preserve">, [1917] A.C. 309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para. 146)</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Statements of Mr. Buhac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Had this meeting been confined to the discussion of the proposed Regulations and to those with a direct interest to vote on the proposed changes, the statements would have been made on an occasion of qualified privilege, subject to issues of exceeding the privilege and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However, I find two reasons why the statements made by Mr. Buhac were not made on an occasion of qualified privilege. First, this meeting was not limited to those with a direct interest in the matter of proposed changes to the Regulations. Rather, it was an open meeting with those present including about 20 non-members of the Church. Second, this was no occasion for statements about construction deficiencies, alleged budget overruns or plans to buy the Church for personal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Privilege is lost if the statements are not germane to the occasion or if they are published to those outside the occasion. Exceeding the occasion can occur by publication to people who do not share the reciprocal need for the information or by publication of non-germane statements. That is what occurred here. To establish that an occasion is privileged, Mr. Buhac must show that he had a legal, moral, or social interest or a personal duty to publish the information to those in attendance and that those in attendance had a corresponding interest or duty to receive that information. Both interests (speakers and listeners) are needed: </w:t>
      </w:r>
      <w:r>
        <w:rPr>
          <w:rFonts w:ascii="arial" w:eastAsia="arial" w:hAnsi="arial" w:cs="arial"/>
          <w:i/>
          <w:color w:val="000000"/>
          <w:sz w:val="20"/>
          <w:lang w:val="en-US" w:eastAsia="en-US" w:bidi="ar-SA"/>
        </w:rPr>
        <w:t>RTC Engineering Consultants Ltd. v. Ontario (Ministry of the Solicitor General and Correctional Services)</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was no duty on Mr. Buhac to express his views about the alleged construction deficiencies in the building and an alleged plan to use the deficiencies to allow the Plaintiffs to buy the property at a low price in due course. Similarly, there was no corresponding interest or duty on those in attendance to receive the views of Mr. Buhac in those 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well, I cannot conclude that Mr. Buhac honestly believed the words to be true that he used. Rather, Mr. Buhac allowed his uncontrolled emotions to overcome him. I have concluded that the occasion was exceeded by Mr. Buhac referring to subject matters not connected to the occasion which was to deal with possible changes to the Regulations and making statements to people who could not vote on whether the new Regulations would be adopted on not. I find that the statements made by Mr. Buhac were not made on an occasion of qualified privilege.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Statements of Mr.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other hand, I have concluded that the words used by Mr. Vidovic at the Meeting were made on an occasion of qualified privilege. While the words were used in an attempt to intimate those who were speaking in favour of the changed Regulations, there was nevertheless a reciprocal duty of a moral and religious nature for Mr. Vidovic to make the statements and for those in attendance who were in a position to vote to receive the communication that the Diocese was opposed to the change and that he was of the view that he was under an obligation to report those who supported change to the Diocese. The statements were germane to the occasion as they related to the vote that would be undertaken relating to the draft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 required element of the defence of qualified privilege is that Mr. Vidovic had an honest belief in what he said. Having found that this was a qualified "occasion", there is a presumption of honest belief in favour of Mr. Vidovic. This presumption can be lost if there is evidence from which I could conclude an absence of honest belief or if I could find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cannot find that Mr. Vidovic did not have an honest belief in what he was saying. I am satisfied that he felt that he had an obligation to report those who opposed change to the Diocese. The question which arises is whether the qualified privilege defence is not available to Mr. Vidovic because of malice.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(2009), 99 B.C.L.R. (4th) 214</w:t>
        </w:r>
      </w:hyperlink>
      <w:r>
        <w:rPr>
          <w:rFonts w:ascii="arial" w:eastAsia="arial" w:hAnsi="arial" w:cs="arial"/>
          <w:color w:val="000000"/>
          <w:sz w:val="20"/>
          <w:lang w:val="en-US" w:eastAsia="en-US" w:bidi="ar-SA"/>
        </w:rPr>
        <w:t xml:space="preserve"> (C.A.), Kirkpatrick J.A. on behalf of the Court made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summarized the law of malice and qualified privilege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1995 CanLII 59</w:t>
        </w:r>
      </w:hyperlink>
      <w:r>
        <w:rPr>
          <w:rFonts w:ascii="arial" w:eastAsia="arial" w:hAnsi="arial" w:cs="arial"/>
          <w:color w:val="000000"/>
          <w:sz w:val="20"/>
          <w:lang w:val="en-US" w:eastAsia="en-US" w:bidi="ar-SA"/>
        </w:rPr>
        <w:t xml:space="preserve"> (SCC), </w:t>
      </w:r>
      <w:hyperlink r:id="rId3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at para. 145: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supra,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1956 CanLII 124</w:t>
        </w:r>
      </w:hyperlink>
      <w:r>
        <w:rPr>
          <w:rFonts w:ascii="arial" w:eastAsia="arial" w:hAnsi="arial" w:cs="arial"/>
          <w:color w:val="000000"/>
          <w:sz w:val="20"/>
          <w:lang w:val="en-US" w:eastAsia="en-US" w:bidi="ar-SA"/>
        </w:rPr>
        <w:t xml:space="preserve"> (ON CA),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w:t>
      </w:r>
      <w:r>
        <w:rPr>
          <w:rFonts w:ascii="arial" w:eastAsia="arial" w:hAnsi="arial" w:cs="arial"/>
          <w:color w:val="000000"/>
          <w:sz w:val="20"/>
          <w:lang w:val="en-US" w:eastAsia="en-US" w:bidi="ar-SA"/>
        </w:rPr>
        <w:t xml:space="preserve">, supra,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1972 CanLII 19 (SCC), </w:t>
      </w:r>
      <w:hyperlink r:id="rId393"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at 299, R.D. McConchie and D.A. Potts reduce this statement to a helpful framework for the categories under which a finding of malice can be made. A defendant is actuated by malice if he or she publishes the comment: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 or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or</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cannot find that what was said by Mr. Vidovic was motivated by malice. I am satisfied that he believed that the tenants of the Church, the Book of Regulations, the Constitution, and the dictates of the hierarchy of Church were being challenged and that he was duty-bound to bring the matter to the attention of the Diocese. I am satisfied that the Plaintiffs have not shown that Mr. Vidovic was entirely indifferent to whether his comments were true or false: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As well, I am not satisfied that the Plaintiffs have particularized the material facts relied upon to support their plea of malice as I am satisfied that a bare plea of malice is insufficient: </w:t>
      </w:r>
      <w:r>
        <w:rPr>
          <w:rFonts w:ascii="arial" w:eastAsia="arial" w:hAnsi="arial" w:cs="arial"/>
          <w:i/>
          <w:color w:val="000000"/>
          <w:sz w:val="20"/>
          <w:lang w:val="en-US" w:eastAsia="en-US" w:bidi="ar-SA"/>
        </w:rPr>
        <w:t>Bowmann v. Turner</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(1993), 82 B.C.L.R. (2d) 362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what was said by Mr. Vidovic was said on a "qualified occasion" and the defence of qualified privileges was not lost to him because he did not have an honest belief in what he was saying or that what he was saying was based on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requirements for a fair comment defence are set out in </w:t>
      </w:r>
      <w:r>
        <w:rPr>
          <w:rFonts w:ascii="arial" w:eastAsia="arial" w:hAnsi="arial" w:cs="arial"/>
          <w:i/>
          <w:color w:val="000000"/>
          <w:sz w:val="20"/>
          <w:lang w:val="en-US" w:eastAsia="en-US" w:bidi="ar-SA"/>
        </w:rPr>
        <w:t>Mainstream Canada v. Staniford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(2013), 47 B.C.L.R. (5th) 261</w:t>
        </w:r>
      </w:hyperlink>
      <w:r>
        <w:rPr>
          <w:rFonts w:ascii="arial" w:eastAsia="arial" w:hAnsi="arial" w:cs="arial"/>
          <w:color w:val="000000"/>
          <w:sz w:val="20"/>
          <w:lang w:val="en-US" w:eastAsia="en-US" w:bidi="ar-SA"/>
        </w:rPr>
        <w:t xml:space="preserve"> (C.A.) where Tysoe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reformulated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[2008] 2 S.C.R. 420</w:t>
        </w:r>
      </w:hyperlink>
      <w:r>
        <w:rPr>
          <w:rFonts w:ascii="arial" w:eastAsia="arial" w:hAnsi="arial" w:cs="arial"/>
          <w:color w:val="000000"/>
          <w:sz w:val="20"/>
          <w:lang w:val="en-US" w:eastAsia="en-US" w:bidi="ar-SA"/>
        </w:rPr>
        <w:t>] at para. 28, a defendant claiming fair comment must satisfy the following test: (a) the comment must be on a matter of public interest; (b) the comment must be based on fact; (c) the comment, though it can include inferences of fact, must be recognizable as comment; (d) the comment must satisfy the following objective test: could any person honestly express that opinion on the proved facts?; and (e) even though the comment satisfies the objective test the defence can be defeated if the plaintiff proves that the defendant was actuated by express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facts pleaded in the Response to Civil Claim raise nothing about the construction of the building or the integrity, honesty or competence of the Plaintiffs, but only about the bylaws being a "radical departure". As to Mr. Vidovic, there was a failure to say what the issue was with the proposed revision to the Regulations. As well, Mr. Vidovic was unable to recall what the issue was at his Examination for Discovery or during his cross-examination at Trial. Nor were any issues with the Regulations proven at Trial. In the circumstances, I am satisfied that the defence of fair comment is not available to Mr.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Regarding the statements made by Mr. Buhac and even assuming that his comments were on a matter of "public interest" to those in attendance at the Meeting, I find that the comments made were clearly not based on fact and it would not have been possible for the remarks to be recognizable as "comment". There is no factual basis pleaded for the words of Mr. Buhac. It is not possible for me to conclude that he was honestly expressing the opinion on what can be determined as "proved facts". I am satisfied that the defence of fair comment is not available to Mr. Buhac.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While Mr. Vanagan had stated that he was "very upset" that "people would think I was a criminal" and that his business as an architect was affected, Mr. Vanagan was unable to point to any evidence of economic loss that was caused by defamation. Nevertheless, because I have found the words "lopovi" and "Dinkic's recipe" to be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 am satisfied that Mr. Vanagan is entitled to damages. Similarly, Mr. Gordic was unable to point to any evidence of economic loss that was caused by the defamation. However, because I have found the words relating to the name of Mr. Gordic being sent to the Diocese because Mr. Gordic was either "an enemy of the Church" or was "against our Serbian Orthodox Church" to be defamatory and slander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 am also satisfied that Mr. Gordic is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submitted by the Plaintiffs that the present case had a significantly larger audience than the following three cases and with statements at least as serious, so that the present case is said to be deserving of higher damages: (a) </w:t>
      </w:r>
      <w:r>
        <w:rPr>
          <w:rFonts w:ascii="arial" w:eastAsia="arial" w:hAnsi="arial" w:cs="arial"/>
          <w:i/>
          <w:color w:val="000000"/>
          <w:sz w:val="20"/>
          <w:lang w:val="en-US" w:eastAsia="en-US" w:bidi="ar-SA"/>
        </w:rPr>
        <w:t>Turco v. Dunlop</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[1998] B.C.J. No. 2711</w:t>
        </w:r>
      </w:hyperlink>
      <w:r>
        <w:rPr>
          <w:rFonts w:ascii="arial" w:eastAsia="arial" w:hAnsi="arial" w:cs="arial"/>
          <w:color w:val="000000"/>
          <w:sz w:val="20"/>
          <w:lang w:val="en-US" w:eastAsia="en-US" w:bidi="ar-SA"/>
        </w:rPr>
        <w:t xml:space="preserve"> (S.C.) involved a statement "must not be a very good lawyer" to a single person, with the plaintiff awarded $20,000; (b)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[2007] B.C.J. No. 2602</w:t>
        </w:r>
      </w:hyperlink>
      <w:r>
        <w:rPr>
          <w:rFonts w:ascii="arial" w:eastAsia="arial" w:hAnsi="arial" w:cs="arial"/>
          <w:color w:val="000000"/>
          <w:sz w:val="20"/>
          <w:lang w:val="en-US" w:eastAsia="en-US" w:bidi="ar-SA"/>
        </w:rPr>
        <w:t xml:space="preserve"> (S.C.) involved three emails that were sent to small groups, mostly members of the legislative assembly, the entire audience totalling at most 15, with the plaintiff awarded $25,000 plus $10,000 in punitive damages and these awards were upheld by the Court of Appeal; and (c) </w:t>
      </w:r>
      <w:r>
        <w:rPr>
          <w:rFonts w:ascii="arial" w:eastAsia="arial" w:hAnsi="arial" w:cs="arial"/>
          <w:i/>
          <w:color w:val="000000"/>
          <w:sz w:val="20"/>
          <w:lang w:val="en-US" w:eastAsia="en-US" w:bidi="ar-SA"/>
        </w:rPr>
        <w:t>LaPointe v. Summach</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[2001] B.C.J. No. 1322</w:t>
        </w:r>
      </w:hyperlink>
      <w:r>
        <w:rPr>
          <w:rFonts w:ascii="arial" w:eastAsia="arial" w:hAnsi="arial" w:cs="arial"/>
          <w:color w:val="000000"/>
          <w:sz w:val="20"/>
          <w:lang w:val="en-US" w:eastAsia="en-US" w:bidi="ar-SA"/>
        </w:rPr>
        <w:t xml:space="preserve"> (S.C.) involved the defendant making statements to four people to the effect that the plaintiff was insolvent, at fault for going over budget, and that he would destroy the plaintiff, with the plaintiff awarded $40,000 general damages plus $10,000 in punitive damages and these awards were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publication of the words used by Mr. Buhac to those who were present requires an award to compensate for the defamation, its unknown spread, the hurt feelings of both Plaintiffs, the absence of an apology and the maintenance of the defences at Trial by Mr. Buhac. I am satisfied that it is necessary to make an award which is sufficient to convince those who heard the statements on May 9, 2010 or who may have later heard the words used by Mr. Buhac that the statements made by him were entirely without merit. I am satisfied that these awards should act as vindication for the Plaintiffs within the Serbian community and as a consolation for the wrongs done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these regards, I adopt the statements made by Crawford J. in </w:t>
      </w:r>
      <w:r>
        <w:rPr>
          <w:rFonts w:ascii="arial" w:eastAsia="arial" w:hAnsi="arial" w:cs="arial"/>
          <w:i/>
          <w:color w:val="000000"/>
          <w:sz w:val="20"/>
          <w:lang w:val="en-US" w:eastAsia="en-US" w:bidi="ar-SA"/>
        </w:rPr>
        <w:t>Nesbitt v. Neufeld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2010 BCSC 1605</w:t>
        </w:r>
      </w:hyperlink>
      <w:r>
        <w:rPr>
          <w:rFonts w:ascii="arial" w:eastAsia="arial" w:hAnsi="arial" w:cs="arial"/>
          <w:color w:val="000000"/>
          <w:sz w:val="20"/>
          <w:lang w:val="en-US" w:eastAsia="en-US" w:bidi="ar-SA"/>
        </w:rPr>
        <w:t xml:space="preserve"> where he endorsed the factors laid down in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(S.C.J.):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factors generally considered when calculating damages were summarized in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[2000] O.J. No. 1359</w:t>
        </w:r>
      </w:hyperlink>
      <w:r>
        <w:rPr>
          <w:rFonts w:ascii="arial" w:eastAsia="arial" w:hAnsi="arial" w:cs="arial"/>
          <w:color w:val="000000"/>
          <w:sz w:val="20"/>
          <w:lang w:val="en-US" w:eastAsia="en-US" w:bidi="ar-SA"/>
        </w:rPr>
        <w:t xml:space="preserve"> (QL) (S.C.J.) at para. 205 of QL; affirmed </w:t>
      </w:r>
      <w:hyperlink r:id="rId403" w:history="1">
        <w:r>
          <w:rPr>
            <w:rFonts w:ascii="arial" w:eastAsia="arial" w:hAnsi="arial" w:cs="arial"/>
            <w:i/>
            <w:color w:val="0077CC"/>
            <w:sz w:val="20"/>
            <w:u w:val="single"/>
            <w:shd w:val="clear" w:color="auto" w:fill="FFFFFF"/>
            <w:lang w:val="en-US" w:eastAsia="en-US" w:bidi="ar-SA"/>
          </w:rPr>
          <w:t>(2001), 54 O.R. (3d) 612</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[2001] O.J. No. 2229</w:t>
        </w:r>
      </w:hyperlink>
      <w:r>
        <w:rPr>
          <w:rFonts w:ascii="arial" w:eastAsia="arial" w:hAnsi="arial" w:cs="arial"/>
          <w:color w:val="000000"/>
          <w:sz w:val="20"/>
          <w:lang w:val="en-US" w:eastAsia="en-US" w:bidi="ar-SA"/>
        </w:rPr>
        <w:t xml:space="preserve"> (QL) (C.A.); leave to appeal to the S.C.C. refused </w:t>
      </w:r>
      <w:hyperlink r:id="rId405" w:history="1">
        <w:r>
          <w:rPr>
            <w:rFonts w:ascii="arial" w:eastAsia="arial" w:hAnsi="arial" w:cs="arial"/>
            <w:i/>
            <w:color w:val="0077CC"/>
            <w:sz w:val="20"/>
            <w:u w:val="single"/>
            <w:shd w:val="clear" w:color="auto" w:fill="FFFFFF"/>
            <w:lang w:val="en-US" w:eastAsia="en-US" w:bidi="ar-SA"/>
          </w:rPr>
          <w:t>[2001] S.C.C.A. No. 432</w:t>
        </w:r>
      </w:hyperlink>
      <w:r>
        <w:rPr>
          <w:rFonts w:ascii="arial" w:eastAsia="arial" w:hAnsi="arial" w:cs="arial"/>
          <w:color w:val="000000"/>
          <w:sz w:val="20"/>
          <w:lang w:val="en-US" w:eastAsia="en-US" w:bidi="ar-SA"/>
        </w:rPr>
        <w:t xml:space="preserve"> (QL).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[205] In attempting to arrive at the appropriate level of general damages in a defamation case, one must always be aware of not only the damage inflicted to a person's reputation but also the fact that once damaged a reputation is very difficult to restore. Always mindful of the fine balance between freedom of speech and the protection of reputation, once the scales have been tipped through defamation, a plaintiff is entitled to be compensated not only for the injury caused by the damage to his integrity within his broad community but also for the suffering occasioned by the defamation. A number of cases including </w:t>
      </w:r>
      <w:r>
        <w:rPr>
          <w:rFonts w:ascii="arial" w:eastAsia="arial" w:hAnsi="arial" w:cs="arial"/>
          <w:i/>
          <w:color w:val="000000"/>
          <w:sz w:val="20"/>
          <w:lang w:val="en-US" w:eastAsia="en-US" w:bidi="ar-SA"/>
        </w:rPr>
        <w:t>Nagy v. Webb</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[1930] 1 W.W.R. 357</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Thomas v. C.B.C.</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[1981] 4 W.W.R. 289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Vogel v. C.B.C.</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[1982] 3 W.W.R. 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Thompson v. NL Broadcasting Ltd.</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(1976), 1 C.C.L.T. 278</w:t>
        </w:r>
      </w:hyperlink>
      <w:r>
        <w:rPr>
          <w:rFonts w:ascii="arial" w:eastAsia="arial" w:hAnsi="arial" w:cs="arial"/>
          <w:color w:val="000000"/>
          <w:sz w:val="20"/>
          <w:lang w:val="en-US" w:eastAsia="en-US" w:bidi="ar-SA"/>
        </w:rPr>
        <w:t xml:space="preserve"> (B.C.S.C.) established factors which might be considered in assessing the appropriate level of compensation. While not all inclusive, some of these factors are as follows:</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defamatory statement;</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accuser;</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breadth of the distribution of the publication of the libel;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republication of the libel;</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give the audience both sides of the picture and not presenting a balanced review;</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desire to increase one's professional reputation or to increase ratings of a particular program;</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and defendant's counsel through to the end of trial;</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or refusal of any retraction or apology;</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establish a plea of 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To describe someone as a "lopovi" is very serious. To suggest that the Plaintiffs had used their involvement in the Construction Committee for their own advantage is also a serious allegation. While there were less than 60 people in attendance, I find it highly unlikely that those in attendance would not have spoken to others about what had been said by Mr. Buhac. The defence that the words had not been said was maintained throughout the Trial and there was no retraction or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Taking into account the factors set out in </w:t>
      </w:r>
      <w:r>
        <w:rPr>
          <w:rFonts w:ascii="arial" w:eastAsia="arial" w:hAnsi="arial" w:cs="arial"/>
          <w:i/>
          <w:color w:val="000000"/>
          <w:sz w:val="20"/>
          <w:lang w:val="en-US" w:eastAsia="en-US" w:bidi="ar-SA"/>
        </w:rPr>
        <w:t>Leenen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satisfied that Mr. Gordic and Mr. Vanagan should each have damages totalling $45,000.00 arising out of the defamation of Radomir Buhac. If I am found to be incorrect in determining that the Plaintiffs should not be entitled to the $45,000.00 awarded, then I determine that $25,000.00 of that amount relates to the use of the word "lopovi" and $20,000.00 relates to the references to "Dinkic's recipe".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Plaintiffs also submit that the slanderous statements of Mr. Buhac should attract both aggravated and punitive damages. In cases of malice, punitive damages are available where conduct deserving of rebuke and deterrence is required: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at paras. 188-199. I can make no such finding of malice here. As for the question of whether the Plaintiffs should be entitled to aggravated damages, the Response to Amended Notice of Civil Claim denies that the libelous statements were made or, if made, they were meant or were understood to mean or were capable of the meanings alleged to be defamatory of the Plaintiffs. While the defendant who pleads truth without the ability to prove it is considered to aggravate the damages of the plaintiff, I cannot conclude that aggravated damages are appropriate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will be entitled to damages in the amount of $45,000.00 each against the Defendant, Radomir Buhac. While he was defamed by the Defendant, Desimir Vidovic, the Plaintiff, Miladin Gordic will not be entitled to damage from Desimir Vidovic.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Grant v. Slater, [2001] B.C.J. No. 2326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S014618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C.C.L.I. (3d)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226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Grant, plaintiff, and Dwayne Lee Slater,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4"/>
      <w:bookmarkEnd w:id="98"/>
      <w:r>
        <w:rPr>
          <w:rFonts w:ascii="arial" w:eastAsia="arial" w:hAnsi="arial" w:cs="arial"/>
          <w:b/>
          <w:color w:val="000000"/>
          <w:sz w:val="20"/>
          <w:lang w:val="en-US" w:eastAsia="en-US" w:bidi="ar-SA"/>
        </w:rPr>
        <w:t>Insurance — Automobile insurance — Claims against party unknown — Efforts to identify unknown party — Practice — Parties — Persons unknown or not named — John Doe, use of — Adding or substituting parties — Mistake or doubt — Bona fide mistake — Adding or substituting defendants — Application of limitation periods — Prejudice to defendant — Circumstances when denied — Dismissal of action — Grounds — Delay.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9" w:name="Case Summary_14"/>
            <w:bookmarkEnd w:id="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Grant to substitute Prokop as a defendant in the place of the Insurance Corporation of British Columbia. Application by ICBC to dismiss the action against it. On August 30, 1992, Grant was a passenger in a vehicle driven by the defendant Slater. Grant claimed that the accident occurred when Slater attempted to take evasive action to avoid a vehicle driven by Prokop. Prokop allegedly failed to stop at a stop sign. Grant's lawyer obtained the police accident report on September 29, 1992. The report did not contain details about Prokop's vehicle. However, the report made references that indicated the presence of a second vehicle. The report also contained the statement of a witness named Jacobsen. Jacobsen stated that a vehicle driven by Prokop was involved in the accident. She added that Slater missed Prokop and ended up in a ditch. The lawyer made no effort to contact Jacobsen. The action was commenced on November 10, 1993. Only Slater, John Doe and ICBC were named as defendants. ICBC was added because Slater was not insured. Grant's lawyer claimed that he only learned of Prokop's involvement in March 2000. Jacobsen died on December 14, 1998. Prokop claimed that he was prejudiced by Grant's delay.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0" w:name="Holdings of Court_11"/>
            <w:bookmarkEnd w:id="100"/>
            <w:r>
              <w:rPr>
                <w:rFonts w:ascii="arial" w:eastAsia="arial" w:hAnsi="arial" w:cs="arial"/>
                <w:color w:val="000000"/>
                <w:sz w:val="20"/>
                <w:lang w:val="en-US" w:eastAsia="en-US" w:bidi="ar-SA"/>
              </w:rPr>
              <w:t>HELD: Application by Grant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Prokop was not added as a party. Application by ICBC allowed. The action against ICBC was dismissed. Grant did not take reasonable steps to identify the other driver before he commenced the action. The report contained sufficient information to identify Prokop. Grant's failure to make a resolute and reasonable search was a complete defence for ICBC. ICBC did not have the obligation to assist Grant in his search. The onus was on Grant to find the unidentified driver. It was not just and convenient to add Prokop. The limitation period had expired seven years ago. Jacobsen was dead. No reasonable excuse was provided for the failure to follow up on the report.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Legislation Cited_11"/>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 15(5)(a), 24,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R.S.B.C. 1979, c. 209, s. 23, 23(1), 23(1)(a), 23(1)(c), 23(2), 23(5), 23(6).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2" w:name="Counsel_14"/>
      <w:bookmarkEnd w:id="1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Lahay, for the plaintiff. K.M. Morrison, for the defendant, Mr. Slater. R.C. Campbell, for the defendant, Insurance Corporation of British Columbia. J. Doricic, for the potential defendant Paul Prokop, Sr.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101"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BURNYEAT J."/>
            <w:bookmarkEnd w:id="104"/>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Mr. Grant pursuant to Section 23(6) of the Insurance (Motor Vehicle) Act, R.S.B.C. 1979, c. 209 ("Act") that Paul Prokop, Sr., be substituted for the Insurance Corporation of British Columbia ("I.C.B.C.") as a defendant and that John Doe be removed as a defendant. I.C.B.C. applies pursuant to Rule 18A of the Rules of Court that the claim against it be dismissed. While all parties agree that I.C.B.C. should be removed as a defendant, I.C.B.C. and Mr. Prokop oppose the application of Mr. Grant that Mr. Prokop be substituted as a defendant as they submit that Mr. Grant has not met the statutory requirements of s. 23(6) of the Act which states in part: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Where bodily injury to...or damage to property arises out of the use or operation on a highway in the Province of a motor vehicle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names of both the owner and the driver of the motor vehicle are not ascertainable...any person who has a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as mentioned in paragraph (a), against the owner or the driver...in respect of the bodily injury...or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shall be limited to the amount by which the damages exceed the prescribed amount. [Am. 1980, c. 21, s. 6; 1987, c. 43, s. 44; 1993, c. 28, s.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No proceedings shall be brought against the corporation as nominal defendant under this section unless the person bringing them gives written notice to the corporation as soon as reasonably practicable and in any event within 6 months after the accident that occasioned the bodily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an action against the corporation as nominal defendant, a judgment against the corporation shall not be given unless the court is satisfied that all reasonable efforts have been made by the parties to ascertain the identity of the unknown owner and driver or unknown driver, as the case may be, and that their or his identity is not ascertainable.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Where the identity of the unknown owner or driver is ascertained before judgment is granted in an action against the insurer as nominal defendant, then, notwithstanding the limitation period in the Motor Vehicle Act, that owner or driver shall be added as a defendant in the action in substitution for the corporation, subject to the conditions the court may specify.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Grant was a passenger in a vehicle being driven by Mr. Slater. The vehicle was proceeding westbound on Dewdney Trunk Road in Pitt Meadows on August 30, 1992. Mr. Grant alleges that Mr. Slater attempted to take evasive action to avoid a vehicle being driven by Mr. Prokop, that the Prokop vehicle was northbound on 203rd Street when it failed to stop at a stop sign and that the Slater vehicle crashed on the west side of the intersection after taking evasive action. After the accident, Mr. Grant attended to Mr. Slater who was unconscious. Both Messrs. Grant and Slater were subsequently transported to the hospital. Mr. Grant states that he did not realize that the other vehicle had stopped at the scene of the accident and that he did not have an opportunity to learn of the identity of the driver of the second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11, 1992 Mr. Grant retained a lawyer to act on his behalf in relation to the accident. That lawyer is not the present counsel for Mr. Grant. The lawyer retained in 1992 wrote to I.C.B.C. to advise that he was acting, to request information and to be provided with the following if it was in the possession of I.C.B.C.: "Police Report and, confirmation of ownership particulars with respect to all vehicles involved in this accident". In a separate letter to I.C.B.C. on the same date, the lawyer stated: "Evidently, the liability is split between the driver of the vehicle in which our client was a passenger and the other vehicle that caused the driver of the vehicle in which our client was riding, to take evasive action". On the same date, the lawyer also wrote to the R.C.M.P. requesting a copy of the Accident Report and stating: "It is our understanding that there were two cars involved in this accident, so we will require the complete Accident Report setting out all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R.C.M.P. responded in a letter dated September 29, 1992. A copy of an "Accident Report" was enclosed along with a "sketch of the scene". The Report noted that the investigating officer was "K.P. Mead". All of the details regarding the Slater vehicle were set out in the Report. No details are set out regarding a second vehicle. Below the box headed "total vehicles", someone has written in the number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Report form contains a series of numbers at the right margin of the form. There are marks beside numbers 26, 28, 28A, 34, 35 and 36 of the Report. Counsel for I.C.B.C. submits that these numbers indicate the presence of a second vehicle. Although it was apparently the case that the legend for interpreting the Report was not sent to the lawyer for Mr. Grant when the Report was forwarded to him, anyone having the legend would have been in a position to ascertain that a second vehicle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sketch that was enclosed provided a diagram of the area, a brief passage about what a "witness Jacobsen" had observed as well as the following notation: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"Vehicle No. 2 Prokop - N.B. 203 misjudged speed of No. 1 &amp; went on from stop sign to N.B. 203 across DTR. Slater locked up his brakes, missed Prokop - spun 180? &amp; went into ditch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investigating officer, K.P. Mead, is now retired from the R.C.M.P. and resides in Alberta. In a June 26, 2001 statement, Mr. Mead indicated that he spoke to at least three people at the scene who had witnessed events: Paul Prokop, Faye Jacobsen, and Brenda McFadden. Mr. Mead also indicated: "I recorded this information in my police note book, and would have provided the information to Brian Grant (or any other party involved in the accident) had he asked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Regarding the three people who were stated to have witnessed the events, it is apparently the case that Ms. Jacobson died on December 14,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Regarding the materials he received, the lawyer for Mr. Grant stated that he noted that only one vehicle was depicted in the "sketch of the scene", the first page of the Report set out details only about the Slater vehicle and, regarding the word "Prokop", "I was unaware that this was the name of the driver of the John Doe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21, 1993, an adjuster at I.C.B.C. forwarded their form CL-45 by facsimile transmission to the lawyer for Mr. Grant. The completed application was never returned to the adjuster. This form was created by I.C.B.C. for people making claims for payment pursuant to hit and run accidents under s. 23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25, 1993 the lawyer for Mr. Grant wrote to the adjuster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discussed this matter at some length with Brian Grant, and he has informed us that the driver of his car [Mr. Slater] was speeding and as a result, it was primarily, if not wholly, the fault of the driver of the car that he was in. This being the case, particularly when liability is joint and several, since our client was not at fault and did wear his seatbelt, we do not intend to join as an unknown driver of the other vehicle that just happened to be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that advise, when the Writ of Summons and Statement of Claim were filed on November 10, 1993, both I.C.B.C. and John Doe were named as defendants as was Mr. Slater. It is apparently the case that Mr. Slater was not insured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13, 1994, copies of materials relating to the accident were provided to an independent adjuster working on behalf of I.C.B.C. That adjuster received not only the Report and sketch of scene received by the lawyer for Mr. Grant but also a list of "witnesses" which included the address and phone numbers of Ms. Jacobsen and Paul Prokop. The lawyer for Mr. Grant states that he never received this list of witnesses in the September 29, 1992 materials he received from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I.C.B.C. filed its Statement of Defence on February 7, 1995 and specifically denied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While I.C.B.C. relied upon the provisions of the Act generally, the Statement of Defence did not set out specific reliance on s. 23 of the Act. As well, I.C.B.C. did not allege that the identity of the John Doe vehicle driver or owner was or ought to have been known so that Mr. Grant had failed to comply with s. 23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9, 2000, the lawyer for Mr. Grant conducted an Examination for Discovery of Mr. Slater. Mr. Slater confirmed that he had no information with respect to the driver of the other vehicle. The lawyer for Mr. Grant asked the lawyer for I.C.B.C. what he understood about the word "Prokop" on the Report and was advised that Mr. Prokop was "another driver at the scene" and "may be" the driver of the second vehicle that came to the stop sign and then moved forward. At that time, the lawyer for Mr. Grant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particulars with respect to Mr. Prokop I would like to have them. We have joined an unknown driver not knowing who he is or where he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lawyer for Mr. Grant states that he was only advised on March 17, 2000 that the unknown driver might be Paul Prokop, Sr. On that date, he was provided with a telephone number and address for Mr. Prokop.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July 4, 2001 Affidavit, Paul Prokop indicates that he was contacted by telephone in the Spring of 2000 by an investigator retained on behalf of the lawyer for Mr. Grant, he received the Notice of Motion and Affidavit which is before the court in March of 2001 and he was "...upset that nearly nine years after the accident I faced the prospect of having to defend my actions and gather evidence regarding the actions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 APPLICATION TO SUBSTITUTE MR. PROKOP AS A DEFENDANT IN PLACE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application deals with the questions of whether it is necessary for reasonable efforts to be made on behalf of Mr. Grant to identify the unknown driver prior to an action being commenced naming I.C.B.C. as a nominal defendant, whether such reasonable efforts were undertaken on behalf of Mr. Grant and whether Paul Prokop can now be substituted for as a defendant instead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I.C.B.C. and Paul Prokop submit that Mr. Grant cannot invoke s. 23(6) unless and until the prerequisites of s. 23(1) and (2) have been met, that the prerequisites have not been met as no reasonable efforts were made by or on behalf of Mr. Grant to ascertain the identity of the driver of the second vehicle and that the name of the owner and driver of the second vehicle was always known so it cannot be said that they were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While s. 23 does not state that proceedings can be brought against I.C.B.C. as a nominal defendant only if reasonable efforts have been made to ascertain the identity of an unknown driver, decisions dealing with those sub-sections (1) and (2) have consistently interpreted those sub-sections that way. In Leggett v. Insurance Corporation of British Columbia, </w:t>
      </w:r>
      <w:hyperlink r:id="rId417" w:history="1">
        <w:r>
          <w:rPr>
            <w:rFonts w:ascii="arial" w:eastAsia="arial" w:hAnsi="arial" w:cs="arial"/>
            <w:i/>
            <w:color w:val="0077CC"/>
            <w:sz w:val="20"/>
            <w:u w:val="single"/>
            <w:shd w:val="clear" w:color="auto" w:fill="FFFFFF"/>
            <w:lang w:val="en-US" w:eastAsia="en-US" w:bidi="ar-SA"/>
          </w:rPr>
          <w:t>(1993), 72 B.C.L.R. (2d) 201</w:t>
        </w:r>
      </w:hyperlink>
      <w:r>
        <w:rPr>
          <w:rFonts w:ascii="arial" w:eastAsia="arial" w:hAnsi="arial" w:cs="arial"/>
          <w:color w:val="000000"/>
          <w:sz w:val="20"/>
          <w:lang w:val="en-US" w:eastAsia="en-US" w:bidi="ar-SA"/>
        </w:rPr>
        <w:t xml:space="preserve"> (B.C.C.A.), Taylor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words "not ascertainable" [in s. 23(1)] should be strictly interpreted, so as to mean "could not possibly have been ascertained". I think they are to be interpreted with reference to subsection (5) so as to mean "could not have been ascertained had the claimant made all reasonable efforts, having regard to the claimant's position, to discover them". (at p. 205).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appropriate test to be whether the claimants had "pursued the investigation to identify the vehicle and its owner and driver as resolutely and resourcefully as they would have done in like circumstances" had there been no such provision. (at p.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that judgment, Taylor, J.A. described the purpose of s. 23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 (at p.205)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decision in Leggett has been consistently followed. Accordingly, the question is whether reasonable efforts were made to discover the identity of Mr. Prokop. Clearly, reasonable efforts were not made. While it was known from the beginning that two cars were involved and while the letters by the lawyer for Mr. Grant to the R.C.M.P. and to I.C.B.C. made it clear that he was aware that two cars were involved, no effort was made to follow up on what was received from the R.C.M.P. despite the fact that the Report received used the words "Vehicle No. 2 Prokop" and "missed Prokop". Even though parts of the Report might have led an uninformed person to believe that there was only one vehicle involved or that the identity of the driver and owner of any second vehicle was not known, anyone who knew or thought that two vehicles were involved could give no reasonable meaning to the words which were set out on the "sketch of scene" other than that someone known as Prokop was the owner or driver of the second vehicle. Even assuming that this was not clear or a logical assumption, the use of the word "prokop" on the sketch cried out for explanation. No explanation was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a "Jacobson" was described in a "witness", no efforts were made to contact Ms. Jacobson. While "K.P. Mead" was listed as the "officer", no effort was made to discuss the Report that had been forwarded or to seek clarification of the use of the quoted words which were set out in the "sketch of scene" with K.P. Mead.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Even the most cursory of reviews should have led the lawyer for Mr. Grant to know that the driver or owner of the second car was named Prokop or that follow up inquiries were warranted. The failure of Mr. Grant through his lawyer to make a "resolute and reasonable search" is a complete defence to a claim brought against I.C.B.C. as the nominal defendant; Tse v. Insurance Corporation of British Columbia </w:t>
      </w:r>
      <w:hyperlink r:id="rId418" w:history="1">
        <w:r>
          <w:rPr>
            <w:rFonts w:ascii="arial" w:eastAsia="arial" w:hAnsi="arial" w:cs="arial"/>
            <w:i/>
            <w:color w:val="0077CC"/>
            <w:sz w:val="20"/>
            <w:u w:val="single"/>
            <w:shd w:val="clear" w:color="auto" w:fill="FFFFFF"/>
            <w:lang w:val="en-US" w:eastAsia="en-US" w:bidi="ar-SA"/>
          </w:rPr>
          <w:t>(1996) 24 B.C.L.R. (3d) 394</w:t>
        </w:r>
      </w:hyperlink>
      <w:r>
        <w:rPr>
          <w:rFonts w:ascii="arial" w:eastAsia="arial" w:hAnsi="arial" w:cs="arial"/>
          <w:color w:val="000000"/>
          <w:sz w:val="20"/>
          <w:lang w:val="en-US" w:eastAsia="en-US" w:bidi="ar-SA"/>
        </w:rPr>
        <w:t xml:space="preserve"> (B.C.S.C.); Emmerson v. I.C.B.C. </w:t>
      </w:r>
      <w:hyperlink r:id="rId419" w:history="1">
        <w:r>
          <w:rPr>
            <w:rFonts w:ascii="arial" w:eastAsia="arial" w:hAnsi="arial" w:cs="arial"/>
            <w:i/>
            <w:color w:val="0077CC"/>
            <w:sz w:val="20"/>
            <w:u w:val="single"/>
            <w:shd w:val="clear" w:color="auto" w:fill="FFFFFF"/>
            <w:lang w:val="en-US" w:eastAsia="en-US" w:bidi="ar-SA"/>
          </w:rPr>
          <w:t>2000 BCSC 12</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[2000] B.C.J. No. 16</w:t>
        </w:r>
      </w:hyperlink>
      <w:r>
        <w:rPr>
          <w:rFonts w:ascii="arial" w:eastAsia="arial" w:hAnsi="arial" w:cs="arial"/>
          <w:color w:val="000000"/>
          <w:sz w:val="20"/>
          <w:lang w:val="en-US" w:eastAsia="en-US" w:bidi="ar-SA"/>
        </w:rPr>
        <w:t>; and Leggett,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June 13, 1994 and prior to the expiry of the limitation period arising out of the August 30, 1992 accident, I.C.B.C. came into possession of most of the same information which had been received by the solicitor for Mr. Grant and which would have allowed it to conclude that Mr. Prokop was the driver and owner of the second vehicle. However, I am satisfied that there is no obligation on I.C.B.C. to make such information known to Mr. Grant or his counsel. I agree with the conclusions reached in Locke v. Insurance Corporation of British Columbia </w:t>
      </w:r>
      <w:hyperlink r:id="rId420" w:history="1">
        <w:r>
          <w:rPr>
            <w:rFonts w:ascii="arial" w:eastAsia="arial" w:hAnsi="arial" w:cs="arial"/>
            <w:i/>
            <w:color w:val="0077CC"/>
            <w:sz w:val="20"/>
            <w:u w:val="single"/>
            <w:shd w:val="clear" w:color="auto" w:fill="FFFFFF"/>
            <w:lang w:val="en-US" w:eastAsia="en-US" w:bidi="ar-SA"/>
          </w:rPr>
          <w:t>(1990) 16 C.C.L.I. (2d) 42</w:t>
        </w:r>
      </w:hyperlink>
      <w:r>
        <w:rPr>
          <w:rFonts w:ascii="arial" w:eastAsia="arial" w:hAnsi="arial" w:cs="arial"/>
          <w:color w:val="000000"/>
          <w:sz w:val="20"/>
          <w:lang w:val="en-US" w:eastAsia="en-US" w:bidi="ar-SA"/>
        </w:rPr>
        <w:t xml:space="preserve"> (B.C.S.C.) where, in the context of whether I.C.B.C. was one of the "parties" required under s. 23(5) to make "all reasonable efforts"...to ascertain the identity of the unknown owner and driver...", Thackray,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to apply an interpretation to the word "parties" in the context of s. 23(5) as including the corporation would be illogical and would tend to defeat what I see to be the intention of the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"parties" necessarily included the corporation, then they could defeat a plaintiff's claim by simply being inactive and making no reasonable efforts to ascertain the identity of the unknown driver. (at p.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s. 23 of the Act, the onus is on a plaintiff or potential plaintiff to take steps to ascertain the identity of an unknown driver and/or owner. Having failed to do so, Mr. Grant cannot rely on any alleged failure by I.C.B.C. to assist him in meeting the onus that was on him. I make no decision on the question of whether Mr. Grant can recover against his insurer, I.C.B.C., as a result of the failure of I.C.B.C. to make known to its insured information which was relevant to the coverage of Mr. Grant and which would have allowed Mr. Grant to establish the identity of the unknown owner and driver. That question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Mr. Grant rely on the decision in Tse, supra to support the proposition that, if I.C.B.C. fails to share information which comes into its possession, it cannot subsequently take the position that the action of a plaintiff should be struck on the basis of the failure of the plaintiff to conduct a resolute and reasonable investigation. In Tse, supra, Sinclair Prowse,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the evidence shows that within 2 years of the accident, ICBC had taken statements from the other drivers and was in possession of the information necessary to identify Mr. Jung (their insured) as the defendant. ICBC chose not to contact Mr. Jung or to disclose the contents of the statements to the plaintiff, thereby enabling him to identify Mr. Jung. Therefore, even if ICBC had sought to have this action struck on the basis of failure to conduct a resolute and reasonable investigation, it would not succeed. Mr. Jung did not know of this situation earlier because his own insurer chose not to notify him. (at p.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satisfied that the Tse decision is distinguishable from the case at bar. First, there was a finding in Tse that the plaintiff had conducted a resolute and reasonable investigation. That is not the case here. Accordingly, the earlier statement made by Sinclair Prowse J in Tse, supra,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failure to make a resolute and reasonable search is a complete defence to a claim brought against I.C.B.C. as a nominal defendant. (at p.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Second, the case at bar is not a situation where the insurer of Mr. Grant came into possession of the only information which would allow someone to ascertain the identity of the unknown driver. Through its independent adjuster, I.C.B.C. came into possession of the same information which had been forwarded to the solicitor for Mr. Grant as well as "a witness list". In the Tse decision, it was only the information which came into the possession of I.C.B.C. which would allow the identity of the unknown driver to be ascertained. It was only in those circumstances that Sinclair Prowse, J concluded that there was an obligation on I.C.B.C. to advise its insured (Mr. Tse) that it now knew the identity of the unknown driver. Last, the comment about what would happen if I.C.B.C. had sought to have the action struck out was Obiter Dicta in that such an application was not before Sinclair Prowse J and there had already been a finding that a resolute and reasonable investigation had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circumstances of this case, the failure of Mr. Grant to conduct a resolute and reasonable search is a complete defence to the claim brought against I.C.B.C. as a nominal defendant so that the application of I.C.B.C. pursuant to Rule 18A of the Rules of Court must succeed. I order that the Insurance Corporation of British Columbia no longer be a party to these proceedings. The application to substitute Paul Prokop, Sr. as a defendant in place of I.C.B.C.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 APPLICATION TO SUBSTITUTE MR. PROKOP AS A DEFENDANT IN PLACE OF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to substitute Mr. Prokop could have been made under either by Rule 24(1) or Rule 15(5)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Rule 24(1) has been relied upon to support an application to substitute the actual defendant after "John Doe" has been named as a defendant even though it is doubtful that the Legislature ever intended that Rule 24(1) would be used that way. In dealing with an application under Rule 24(1), Southin J (as she then was) in Happy Investments Mgnt. Ltd. v. Dorio </w:t>
      </w:r>
      <w:hyperlink r:id="rId421" w:history="1">
        <w:r>
          <w:rPr>
            <w:rFonts w:ascii="arial" w:eastAsia="arial" w:hAnsi="arial" w:cs="arial"/>
            <w:i/>
            <w:color w:val="0077CC"/>
            <w:sz w:val="20"/>
            <w:u w:val="single"/>
            <w:shd w:val="clear" w:color="auto" w:fill="FFFFFF"/>
            <w:lang w:val="en-US" w:eastAsia="en-US" w:bidi="ar-SA"/>
          </w:rPr>
          <w:t>(1988) 23 B.C.L.R. (2d) 245</w:t>
        </w:r>
      </w:hyperlink>
      <w:r>
        <w:rPr>
          <w:rFonts w:ascii="arial" w:eastAsia="arial" w:hAnsi="arial" w:cs="arial"/>
          <w:color w:val="000000"/>
          <w:sz w:val="20"/>
          <w:lang w:val="en-US" w:eastAsia="en-US" w:bidi="ar-SA"/>
        </w:rPr>
        <w:t xml:space="preserve"> (B.C.S.C.) stated that there was no Rule of Court relating to a "misnomer" but, if there was a misnomer, the court could grant leave under Rule 24(1) to substitute the actual defendant after John Doe had been named as a defendant. However, Southin J declined the application under that Rule after concluding that it would be inappropriate to bring such an application where it was clear that the plaintiffs could have discovered the proper defendant: "...if they had proceeded diligently before the limitation period expired." (at p. 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While the words "just and convenient" are not found in Rule 24, what is "just and convenient" is the relevant criteria for the exercise of the discretion found in that Rule: Teal Cedar Products (1977) Ltd. v. Dale Intermediaries Ltd. </w:t>
      </w:r>
      <w:hyperlink r:id="rId422" w:history="1">
        <w:r>
          <w:rPr>
            <w:rFonts w:ascii="arial" w:eastAsia="arial" w:hAnsi="arial" w:cs="arial"/>
            <w:i/>
            <w:color w:val="0077CC"/>
            <w:sz w:val="20"/>
            <w:u w:val="single"/>
            <w:shd w:val="clear" w:color="auto" w:fill="FFFFFF"/>
            <w:lang w:val="en-US" w:eastAsia="en-US" w:bidi="ar-SA"/>
          </w:rPr>
          <w:t>(1996), 19 B.C.L.R. (3rd) 282</w:t>
        </w:r>
      </w:hyperlink>
      <w:r>
        <w:rPr>
          <w:rFonts w:ascii="arial" w:eastAsia="arial" w:hAnsi="arial" w:cs="arial"/>
          <w:color w:val="000000"/>
          <w:sz w:val="20"/>
          <w:lang w:val="en-US" w:eastAsia="en-US" w:bidi="ar-SA"/>
        </w:rPr>
        <w:t xml:space="preserve"> (B.C.C.A.). In Owners, Strata Plan LMSO283 v. Quay Developments Ltd. et al. </w:t>
      </w:r>
      <w:hyperlink r:id="rId423" w:history="1">
        <w:r>
          <w:rPr>
            <w:rFonts w:ascii="arial" w:eastAsia="arial" w:hAnsi="arial" w:cs="arial"/>
            <w:i/>
            <w:color w:val="0077CC"/>
            <w:sz w:val="20"/>
            <w:u w:val="single"/>
            <w:shd w:val="clear" w:color="auto" w:fill="FFFFFF"/>
            <w:lang w:val="en-US" w:eastAsia="en-US" w:bidi="ar-SA"/>
          </w:rPr>
          <w:t>[1999] B.C.J. No. 2288</w:t>
        </w:r>
      </w:hyperlink>
      <w:r>
        <w:rPr>
          <w:rFonts w:ascii="arial" w:eastAsia="arial" w:hAnsi="arial" w:cs="arial"/>
          <w:color w:val="000000"/>
          <w:sz w:val="20"/>
          <w:lang w:val="en-US" w:eastAsia="en-US" w:bidi="ar-SA"/>
        </w:rPr>
        <w:t xml:space="preserve"> (B.C.S.C.), Lowry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principle, therefore it appears to me that the discretion to permit amendments afforded by both Rule 24(1) and s. 4(4) of the [Limitation] Act was intended to be completely unfettered and subject only to the general rule that all such discretion is to be exercised judicially, in accordance with the evidence adduced and such guidelines as may appear from the authorities.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case at bar, Mr. Grant has not conducted a "resolute and reasonable search", the limitation period expired seven years ago, one of the witnesses to the mishap is deceased, and no reasonable excuse has been provided as to why there was no follow up on the R.C.M.P. Report which was provided to counsel for Mr. Grant. In those circumstances, it is not just and convenient that Mr. Prokop be substituted for John Doe as a defendant. As well, I cannot be satisfied that it can be said that the naming of John Doe instead of Paul Prokop is a "misnomer" which can be corrected under Rule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have drawn my attention to two decisions where amendments substituting the name of the previously unknown driver was made even though the limitation period had expired because the original designation was considered a misnomer: Jackson v. Bubela </w:t>
      </w:r>
      <w:hyperlink r:id="rId424" w:history="1">
        <w:r>
          <w:rPr>
            <w:rFonts w:ascii="arial" w:eastAsia="arial" w:hAnsi="arial" w:cs="arial"/>
            <w:i/>
            <w:color w:val="0077CC"/>
            <w:sz w:val="20"/>
            <w:u w:val="single"/>
            <w:shd w:val="clear" w:color="auto" w:fill="FFFFFF"/>
            <w:lang w:val="en-US" w:eastAsia="en-US" w:bidi="ar-SA"/>
          </w:rPr>
          <w:t>(1972) 28 D.L.R. (3d) 500</w:t>
        </w:r>
      </w:hyperlink>
      <w:r>
        <w:rPr>
          <w:rFonts w:ascii="arial" w:eastAsia="arial" w:hAnsi="arial" w:cs="arial"/>
          <w:color w:val="000000"/>
          <w:sz w:val="20"/>
          <w:lang w:val="en-US" w:eastAsia="en-US" w:bidi="ar-SA"/>
        </w:rPr>
        <w:t xml:space="preserve"> (B.C.C.A.) and Oldridge v. North West Vancouver Hospital Society (c.o.b. Lions Gate Hospital) </w:t>
      </w:r>
      <w:hyperlink r:id="rId425" w:history="1">
        <w:r>
          <w:rPr>
            <w:rFonts w:ascii="arial" w:eastAsia="arial" w:hAnsi="arial" w:cs="arial"/>
            <w:i/>
            <w:color w:val="0077CC"/>
            <w:sz w:val="20"/>
            <w:u w:val="single"/>
            <w:shd w:val="clear" w:color="auto" w:fill="FFFFFF"/>
            <w:lang w:val="en-US" w:eastAsia="en-US" w:bidi="ar-SA"/>
          </w:rPr>
          <w:t>(1997) 44 B.C.L.R. (3d) 337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Jackson, supra, the owner of the vehicle was known but the driver was not, the owner of the vehicle knew the driver and the solicitors for the plaintiff had made every effort to obtain the name of the driver. In Oldridge, supra, Edwards J concluded that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 from the endorsement on the Writ in this case that the two personnel defendants ought to be substituted or identified in the endorsement on the Writ in a manner that a reasonable person looking at the document would understand". (at p. 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None of those circumstances are present here. First, Mr. Prokop had no knowledge that it would be alleged that he was somehow responsible for the accident. Second, appropriate steps had not been taken to ascertain the name of the owner or driver of the second vehicle. Third, nothing in the Writ or Statement of Claim would have led a reasonable person or Paul Prokop himself to conclude that the action was directed to him. The test for determining a misnomer was described by Lord Devlin in Davies v. Elsby Bros. Ltd., [1960] 3 ALL E.R. 672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be: How would a reasonable person receiving the document take it. If, in all the circumstances of the case and looking at the document as a whole, he would say to himself: 'Of course it must mean me, but they have got my name wrong' then there is a case of mere misnomer. If, on the other hand, he would say: 'I cannot tell from the document itself whether they mean me or not and I shall have to make inquiries', then it seems to me that one is getting beyond the realm of misnomer. (at p. 676)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Even if the Writ and Statement of Claim had come to the attention of Mr. Prokop, there is nothing which would allow him to conclude that "they have got my name wrong". In fact, there is nothing which would have even put him on further inquiries. In the circumstances of this case, any application under Rule 24(1)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 application such as is made by Mr. Grant should be brought under Rule 15(5)(a) of the Rules of Court and not under Rule 24(1). The question which arises is whether an application to substitute Paul Prokop for John Doe can succeed under Rule 15(5)(a) which states in part: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effectively adjudicated upon, be added or substituted as a party, and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person to the proceeding, a question or issue related to or connected:</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proceedings, or</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in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Teal Cedar Products, supra, Finch J.A. referred to the decisions in Knight Towing Ltd. v. General Motors of Canada Ltd. et al. </w:t>
      </w:r>
      <w:hyperlink r:id="rId426" w:history="1">
        <w:r>
          <w:rPr>
            <w:rFonts w:ascii="arial" w:eastAsia="arial" w:hAnsi="arial" w:cs="arial"/>
            <w:i/>
            <w:color w:val="0077CC"/>
            <w:sz w:val="20"/>
            <w:u w:val="single"/>
            <w:shd w:val="clear" w:color="auto" w:fill="FFFFFF"/>
            <w:lang w:val="en-US" w:eastAsia="en-US" w:bidi="ar-SA"/>
          </w:rPr>
          <w:t>(1981), 27 B.C.L.R. 335</w:t>
        </w:r>
      </w:hyperlink>
      <w:r>
        <w:rPr>
          <w:rFonts w:ascii="arial" w:eastAsia="arial" w:hAnsi="arial" w:cs="arial"/>
          <w:color w:val="000000"/>
          <w:sz w:val="20"/>
          <w:lang w:val="en-US" w:eastAsia="en-US" w:bidi="ar-SA"/>
        </w:rPr>
        <w:t xml:space="preserve"> (B.C.C.A.) and Lui and Lui v. West Granville Manner Ltd. (No. 2) </w:t>
      </w:r>
      <w:hyperlink r:id="rId427"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(B.C.C.A.) before concluding that the expiry of a limitation period or a plaintiff's deliberate dilatory conduct in applying to add parties are: "...important factors, but neither would prevent the court from exercising its discretion in the plaintiff's favour." (at p. 291) Finch J.A. also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(at p.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same reasons set out in dealing with an application pursuant to Rule 24(1) of the Rules of Court, I am not prepared to exercise the discretion available to me to substitute Paul Prokop for John Doe pursuant to Rule 15(5)(a) of the Rules of Court. The identity of Paul Prokop as the driver of the northbound vehicle was known from the beginning. The dilatory conduct of Mr. Grant and counsel on his behalf as well as the expiry of a limitation period more than seven years ago are important factors in arriving at this conclusion. No good explanation has been put forward to account for the joining of John Doe rather than Paul Prokop or in the delay in substituting Paul Prokop for John Doe. The death of the independent witness causes substantial prejudice and combines with the other factors to lead me not to exercise my discretion in favour of adding Mr. Prokop as a Defendant. The application pursuant to Rule 15(5)(a) of the Rules of Court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proposed Defendant, Paul Prokop Sr., will be entitled to his costs of this application against Mr. Grant on a Party and Party (Scale 3) basis. To avoid the cost of an assessment of those costs before the Registrar, I assess the costs inclusive of fees, disbursements and government taxes at $550.00. The Defendant, Insurance Corporation of British Columbia, will also be entitled to its costs to date on a Party and Party (Scale 3) basis against the Plaintiff, Brian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Greater Vancouver Water District v. North American Pipe &amp; Steel Ltd., [2011] B.C.J. No. 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June 1-3, 7-9, 11, 14-17, 24-25, 28-30,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5-9 and September 8-10,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S065119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C.L.R. (3d)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196 A.C.W.S. (3d) 1006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Greater Vancouver Water District, Plaintiff, and North American Pipe &amp; Steel Ltd. and Moody International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Commercial law — Sale of goods — Duties of seller — Delivery — Delivery of wrong quality — Goods not in accordance with contract — Breach of contract — Seller's remedies — Damages for non-acceptance — Measure of damages — Buyer's remedies — Breach of warranty by seller — No right to reject goods — Action by purchaser for breach of contract dismissed — Counterclaim by seller for payment and storage costs allowed — Plaintiff contracted seller for manufacture of pipes and retained inspector — Plaintiff's claim pipes had widespread adhesion failure not established as it was based on faulty testing — Widespread cohesion failure established — However, cohesion failure caused by plaintiff's specifications — Seller was contractually obligated to follow specifications so plaintiff could not rely on any warranty — Inspector met duty to ensure pipes were manufactured in accordance with specifications — Plaintiff to pay seller $3,899,857 for unpaid invoices and storage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Terms — Classification — Warranties — Conditions — Action by purchaser for breach of contract dismissed — Counterclaim by seller for payment and storage costs allowed — Plaintiff contracted seller for manufacture of pipes and retained inspector — Plaintiff's claim pipes had widespread adhesion failure not established as it was based on faulty testing — Widespread cohesion failure established — However, cohesion failure caused by plaintiff's specifications — Seller was contractually obligated to follow specifications so plaintiff could not rely on any warranty — Inspector met duty to ensure pipes were manufactured in accordance with specifications — Plaintiff to pay seller $3,899,857 for unpaid invoices and storage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5"/>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breach of contract damages. Counterclaim by the seller for payment and storage costs. The plaintiff entered into a contract with the defendant seller for the supply of water pipes and retained the defendant inspector for the provision of inspection services during the manufacture of the pipes in Korea. The contracts were executed following a tender process and set out specifications for the pipes. The inspector provided daily reports. The completed pipes arrived in British Columbia and the plaintiff's project engineer inspected them and found them acceptable. However, just after the plaintiff started to take delivery, the installation contractor advised that the coating appeared to be deficient. The plaintiff engaged consultants in testing and refused delivery on the basis of widespread adhesive failure between the coating and the pipe and widespread cohesive failure between the layers of coating. The plaintiff rejected the seller's proposed action plan and demanded it undertake a remedial procedure developed by its consultant. The seller began the procedure under protest but the plaintiff then told the seller to stop as it was not necessary. The seller agreed under protest to strip and re-coat the pipes for $9.75 per square foot. The defendants admitted there were cohesive failures but argued they were caused by the plaintiff's specification. The plaintiff argued that, even if their specifications were the cause, the defendants were liable by way of warranty.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2"/>
            <w:bookmarkEnd w:id="10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The inspector's experts performed peel tests in accordance with international standards and observed no adhesive failures. The plaintiff failed to verify these results. The plaintiff's adhesive failure claim was based on the observations of non-experts, inaccurate reports and observations made after the workers had begun stripping the pipes. Adhesive failure was not established. Cohesive failure was established and widespread, however. Delamination was observed between coating layers and there were thin spots and voids in a number of places. The plaintiff did not call any experts on causation and did not refute the defendants' expert evidence. The expert evidence established that the cohesive failure was due to trapped gasses, which were caused by the plaintiff's specifications that a seal coat be applied over glass fibre mat outerwrap. The plaintiff's specifications were created by a team of knowledgeable engineers. The seller was not asked for input and was contractually obligated to build the pipe according to the specifications. The plaintiff did not rely on the seller's skill and judgment. The warranty in the contract was inconsistent with the seller's contractual obligations and with the parties' intentions. Furthermore, since the plaintiff drafted the agreement, the inconsistency was resolved in the seller's favour. The seller did not make warranties the plaintiff could rely on and was not liable for the defects caused by the plaintiff's specificities. The inspector's liability arose only from the contract, not from information contained in its proposals. The inspector's duty was to ensure the pipes were manufactured according to the plaintiff's specifications and this duty was met. The plaintiff adduced no expert evidence to establish that the inspector lacked skill and diligence or should have detected and reported the defects. The seller was entitled to payments for invoices for the manufacture and the remediation process and for storage costs incurred because of the plaintiff's refusal to accept delivery. The seller was awarded $3,899,857 plus interest.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2"/>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Moshonas, D.K. Plunkett.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North American Pipe &amp; Steel Ltd.: B.M. Shaw, M.L. Burris.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Moody International Ltd.: G.T. Lund.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6"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L.B. GEROW J."/>
            <w:bookmarkEnd w:id="111"/>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Greater Vancouver Water District (the "GVWD") entered into a contract with North American Pipe &amp; Steel Ltd. ("NAP") for the supply of water pipes for two large water projects in December 2005 (the "Supply Agreement"). Moody International Ltd. ("Moody") was retained by the GVWD in January 2006 to provide inspection services during the manufacture of the water pipes, which took place in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GVWD alleges that both NAP and Moody breached their contracts because the coal tar enamel (the "CTE") coating on the pipes supplied by NAP was defective and did not meet the specifications in the Supply Agreement. NAP and Moody take the position that the CTE coating was manufactured and inspected in accordance with the specifications in the Supply Agreement, and any defects in the CTE coating were caused by the specifications. NAP alleges that GVWD is in breach of the Supply Agreement because it has not paid NAP's invoices. NAP has counterclaimed for the amount the GVWD owes under the Supply Agreement. NAP also counterclaims for damages NAP alleges it has incurred as the result of the GVWD's failure to take delivery of the pipe in accordance with the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CTE coating on the pipes defective? If so, was there a defect resulting from a lack of adhesion between the CTE coating and the steel pipe or a defect caused by a lack of cohesion between the layers of the CTE coating, or both?</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CTE coating was defective, were the pipes manufactured in accordance with the specifications, and were the defects caused by the GVWD's specifications?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NAP contractually responsible for any defects arising from the GVWD's design?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Moody liable to the GVWD for failing to provide adequate inspection services during the manufacture of the pipes?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for any of the deficiencies in the pipe, did the GVWD contribute to the losses or act unreasonably in mitigating the losses?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defects in the pipes were caused by the GVWD's specifications, is NAP entitled to judgment on its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18, 2005, the GVWD submitted a public tender seeking tenders for the supply and delivery of steel pipe which was to be installed at two significant water main projects. The two projects were: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Road Main No. 2, Stage 1, Buckingham Heights and Delta Avenue sections, located in the City of Burnaby (the "DRM2" project);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Seymour Main No. 5, located in the District of North Vancouver (the "SEY5"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pipe was to be installed by two different contractors. The GVWD entered into an installation contract with Pedre Contractors Ltd. ("Pedre") for the installation of the steel pipe for the DRM2 project and an installation contract with Westpro Constructors Group Ltd. ("Westpro") for the installation of the steel pipe for the SEY5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instructions to tenderers required the successful bidder to supply and deliver approximately 1.7 km of 60" diameter pipe and 1.15 km of 84" diameter pipe. The 60' diameter pipe was for use in the DRM2 project and the 84" diameter pipe was for use in the SEY5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NAP submitted a tender in response to the GVWD's invitation (based on the estimated length of pipe) in the amount of $3,666,522.08. NAP's tender was accepted on December 22, 2005, and the Supply Agreement was entered into between the GVWD and NAP.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Supply Agreement provides that the CTE coating was to be constructed in accordance with the following specifications: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Execution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Coal Tar Enamel Coating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exterior of the pipe shall be cleaned, sandblasted, primed and coated with coal tar enamel wrapped fiberglass wrapper, seal coated and finished with a single wrap of kraft paper according to AWWA C203.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resultant construction of this exterior protection in order of application shall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Coal tar primer, Type B, (primer to extend to the ends of all pipe).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Coat tar enamel, Type II, 2.4mm + 0.8 mm (3/32 inch + 1/32 inch) thick.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Bonded coat tar coated fiberglass felt (AWWA C203 4.3.4.1).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Coal tar enamel seal coat, 0.8 mm (1/32 inch) minimum. </w:t>
      </w:r>
      <w:r>
        <w:rPr>
          <w:rFonts w:ascii="arial" w:eastAsia="arial" w:hAnsi="arial" w:cs="arial"/>
          <w:i/>
          <w:color w:val="000000"/>
          <w:sz w:val="20"/>
          <w:lang w:val="en-US" w:eastAsia="en-US" w:bidi="ar-SA"/>
        </w:rPr>
        <w:t>The seal coat may be omitted, if in the Corporations' opinion, sufficient tar has bled through the felt.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Kraft paper finish coat.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AWWA C203-02 standard (the "AWWA standard") is an internationally recognized standard for the supply, inspection and repair of CTE coating. The AWWA standard does not contemplate the application of a seal coat over a glass fibre mat outerwrap.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steel pipe was manufactured in a mill in Chonen-Shi, Chung-Chong-Nam-do, Korea (the "Mill") by a Korean company, Dong Yang Steel Pipe Co. Limited ("Dong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consultation with NAP, Dong Yang prepared Manufacturing and Mill Inspection Procedures forms ("MIPs"), which set out the processes, inspections, and tests that would be conducted by Dong Yang in order to manufacture the pipe to the GVWD's specifications. The MIPs were submitted to, and approved by, the GVWD.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Dong Yang submits that the pipes, including the application of the CTE coating, were manufactured in accordance with the MIPs and to the specifications set out in the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Moody was retained by the GVWD to provide inspection services. Moody supplied an inspector in Korea who monitored the manufacturing process on a full-time basis. Moody's inspector provided daily reports to the GVWD of the manufacturing and the results of the various testing procedures that were undertaken by the Mill on that day. The inspector also provided weekly reports to the GVWD summarizing the work and testing undertaken that week. Photographs were included with the weekly reports which showed the pipes in the various stages of manufacture and the testing being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this same period of time, NAP commissioned Dong Yang to manufacture a quantity of 43" diameter pipe for SNC Lavalin's Canada Line project. The specifications for the CTE coating on the 43" diameter pipe were identical to the specifications for the CTE coating on 60" and 84" diameter pipes manufactured pursuant to the Supply Agreement. Dong Yang manufactured the 43" diameter pipes using the same materials, process, inspection and testing procedures that were utilized for the manufacture of the GVWD's 60" and 84" diameter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April and June 2006, the completed 43", 60" and 84" diameter pipes arrived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or about April 11 or 12, 2006, the GVWD's project engineer, Colin Meldrum, visually inspected the first shipment of 60" diameter pipe. Mr. Meldrum commented that the pipe looked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13, 2006, a GVWD inspector Jerry Kostachuk completed a peel test and dry film thickness measurement on some of the 60" and 43" diameter pipes. He found all results to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GVWD's project experienced delays that prevented it from taking delivery of the pipes when they arrived in the lower mainland. The pipes remained in storage at NAP's expense. In late June 2006, the GVWD began to prepare for installation of the pipes, and started to take delivery of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27, 2006, Pedre, the installation contractor for the DRM2 project, notified the GVWD that the CTE coating on the pipes they received from NAP appeared to be deficient. Pedre had obtained approximately four pipes and had begun mitre cuts at their yard in preparation for their installation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GVWD investigated the pipes in Pedre's yard on June 28, 2006, and determined there was a problem with the CTE coating on the pipes. This led to further investigations by the GVWD and by outside consultants that it retained. Following investigations, the GVWD determined that there was a widespread problem with the CTE coating due to a lack of proper bonding between the fibreglass felt and the CTE, and some instances of a lack of proper bonding between the CTE coating and the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7, 2006, the GVWD delivered a letter notifying NAP that it was unable to accept delivery of the pipes because of the alleged defects. The GVWD asked NAP to advise the GVWD of the actions it intended to take to remedy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receipt of the letter NAP attended meetings with the GVWD to determine the cause for its concern. NAP also consulted an expert, Henry Stoner, regarding the alleged defects. On July 17, 2006, NAP provided the GVWD with a proposed action plan to address the GVWD's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July 18, 2006, the GVWD rejected NAP's proposed action plan and indicated that it did not intend to make any payments under the Supply Agreement until it had determined all of the costs it had incurred as a result of the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1, 2006, the GVWD notified NAP of an approved remediation procedure for the pipes which was developed by one of the experts it retained, Robert Gummow of Correng Consulting (the "Gummow Procedure"). Mr. Gummow was retained by the GVWD to investigate the problems with the CTE coating of the pipes and provide recommendations for its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GVWD advised NAP that it would accept the pipes if the Gummow Procedure of scraping off any loose seal coat and outerwrap layers, and re-coating with hot CTE coating was implemented. NAP agreed to perform the work under protest, and for a fee. When the GVWD refused to pay the fee, NAP nonetheless commenced the remedial work, under protest.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NAP started implementing the Gummow Procedure in earnest on August 11, 2006. On August 17, 2006, the GVWD formally accepted the Gummow Procedure and provided a specification for the procedure to NAP. The GVWD also provided a formal direction to NAP to implement the Gummow Procedure as a means of "satisfying the Engineer" pursuant to General Condition 4.3.1 of the Supply Agreement. Section 4.3.1. of the Supply Agreement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upon inspection, testing or otherwise the Goods or any portion thereof are found to be non-conforming, unsatisfactory, defective, or inferior quality or workmanship or fail to meet any guarantee of operating or other specifications contained herein, or any other requirement of the Contract Documents, then without prejudice to any other rights or remedies, the Engineer may give notice of its dissatisfaction to the Supply Contractor either verbally or in writing and the Supply Contractor shall immediately upon receipt of such notice do all the things that are required to satisfy the Engineer.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did not alter the work that NAP had already completed since August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26, 2006, the GVWD gave notice to NAP to stop implementing the Gummow Procedure. The GVWD decided that a full re-stripping and re-coating of all pipes was necessary after receiving a report from Terry Aben and Ray Yuen of Powertech Labs Inc. ("Powertech") dated August 23, 2006. Powertech was an outside consultant retained by the GVWD to assist in investigating the defects observed in the CTE coating. By the time it was given notice to stop the Gummow Procedure, NAP had stripped the outer seal coat and outerwrap layers off some of the pipes, but had not yet performed any CTE re-coating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NAP maintained its position that the coating on the pipes met the specification and that the defects were not as widespread as the GVWD and its experts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GVWD commenced this action and brought an injunction application to seek an order requiring NAP to deliver the pipes to the GVWD so that the repairs recommended by its experts could be effected. This resulted in further negotiations and an eventual agreement between the GVWD and NAP that the repairs would be done, leaving the issue of payment to be resolved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September 2006, the parties entered into a mitigation agreement, whereby NAP agreed under protest to strip and re-coat the pipes with a polyurethane coating at an agreed unit price of $9.75 per square foot.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CTE coating on the pipe defective?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GVWD submits that the CTE coating was defective. It says the two most critical defects in the coating are the cohesive failures between the layers of the CTE coating and the adhesive failures between the CTE coating and the steel surface of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Numerous witnesses from the GVWD and its experts testified that the outer layer of CTE was delaminating from or not adhering to the underlying layer of CTE. This has been referred to as both a cohesive failure and as a delamination within the layers of the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cohesive failure is distinguished from an adhesive failure, which is a failure between the CTE coating and the steel surface of the pipe. The GVWD submits there is evidence of both a systemic cohesive failure of the CTE coating and a systemic adhesive failure of the bond between the CTE coating and the steel surface of the pipe. Both the GVWD and the defendants agree that an adhesive failure is separate and distinct from a cohesive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GVWD relies on peel tests performed by its expert, Gordon Broughton of Acuren Group Inc. ("Acuren"), and witnessed by NAP's expert, Raymond Kufaas of Norske Corrosion &amp; Inspection Services ("Norske"), in support of its contention that there were widespread failures in the adhesion of the CTE coating to the steel surface of the pipe.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admit there was evidence of cohesive failures between the layers of the CTE coating. However, they take the position that the cohesion problem was not as widespread as submitted by the GVWD, and that the CTE coating was constructed in accordance with the GVWD's specifications. The defendants assert that the cause of the cohesive failures is the GVWD's specifications, and not the fault of the defendants' manufacturing and/or inspection of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submit that the GVWD has not proven there were widespread adhesive failures between the CTE coating and the steel surface of the pipe, and that the GVWD was not justified in rejecting the initial repair strategy proposed by Mr. Gummow.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definition of "defect" was discussed in </w:t>
      </w:r>
      <w:r>
        <w:rPr>
          <w:rFonts w:ascii="arial" w:eastAsia="arial" w:hAnsi="arial" w:cs="arial"/>
          <w:i/>
          <w:color w:val="000000"/>
          <w:sz w:val="20"/>
          <w:lang w:val="en-US" w:eastAsia="en-US" w:bidi="ar-SA"/>
        </w:rPr>
        <w:t>Privest Properties Ltd. v. Foundation Co. of Canada Ltd.</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(1995), 11 B.C.L.R. (3d) 1</w:t>
        </w:r>
      </w:hyperlink>
      <w:r>
        <w:rPr>
          <w:rFonts w:ascii="arial" w:eastAsia="arial" w:hAnsi="arial" w:cs="arial"/>
          <w:color w:val="000000"/>
          <w:sz w:val="20"/>
          <w:lang w:val="en-US" w:eastAsia="en-US" w:bidi="ar-SA"/>
        </w:rPr>
        <w:t xml:space="preserve"> (S.C.) at para. 272: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272 What is meant by the words "defect" or "danger" in this context was considered by Stratton J. of the Alberta Court of Queen's Bench in </w:t>
      </w:r>
      <w:r>
        <w:rPr>
          <w:rFonts w:ascii="arial" w:eastAsia="arial" w:hAnsi="arial" w:cs="arial"/>
          <w:i/>
          <w:color w:val="000000"/>
          <w:sz w:val="20"/>
          <w:lang w:val="en-US" w:eastAsia="en-US" w:bidi="ar-SA"/>
        </w:rPr>
        <w:t>Holt v. P.P.G. Industries Canada Ltd.</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(1983), 25 C.C.L.T. 253</w:t>
        </w:r>
      </w:hyperlink>
      <w:r>
        <w:rPr>
          <w:rFonts w:ascii="arial" w:eastAsia="arial" w:hAnsi="arial" w:cs="arial"/>
          <w:color w:val="000000"/>
          <w:sz w:val="20"/>
          <w:lang w:val="en-US" w:eastAsia="en-US" w:bidi="ar-SA"/>
        </w:rPr>
        <w:t xml:space="preserve"> at 264. There he noted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seems increasingly clear that the trend in Canadian/English Courts is to allow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more readily drawn particularly as against a manufacturer. This inference, however, comes into prominence only in the event that the product in question is found to be defective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to be applied to determine whether any defect exists was dealt with at p. 13 of the Ontario Law Reform Commission Report on Products Liability (op. cit.). After referring to Lord Atkin's test in </w:t>
      </w:r>
      <w:r>
        <w:rPr>
          <w:rFonts w:ascii="arial" w:eastAsia="arial" w:hAnsi="arial" w:cs="arial"/>
          <w:i/>
          <w:color w:val="000000"/>
          <w:sz w:val="20"/>
          <w:lang w:val="en-US" w:eastAsia="en-US" w:bidi="ar-SA"/>
        </w:rPr>
        <w:t>M'Alister (Donoghue) v. Stevenson</w:t>
      </w:r>
      <w:r>
        <w:rPr>
          <w:rFonts w:ascii="arial" w:eastAsia="arial" w:hAnsi="arial" w:cs="arial"/>
          <w:color w:val="000000"/>
          <w:sz w:val="20"/>
          <w:lang w:val="en-US" w:eastAsia="en-US" w:bidi="ar-SA"/>
        </w:rPr>
        <w:t>, [1932] A.C. 562, supra, the report continued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there to be liability under Lord Atkin's statement, it is clear that a product must fall short in some way of what it ought to be; a product, in other words, must be defective. Some test of the concept of 'defect', therefore, is required. This must be a general and flexible test; and, it would seem that the concept cannot be defined except in terms of </w:t>
      </w:r>
      <w:r>
        <w:rPr>
          <w:rFonts w:ascii="arial" w:eastAsia="arial" w:hAnsi="arial" w:cs="arial"/>
          <w:i/>
          <w:color w:val="000000"/>
          <w:sz w:val="20"/>
          <w:lang w:val="en-US" w:eastAsia="en-US" w:bidi="ar-SA"/>
        </w:rPr>
        <w:t>what it was reasonable to expect of the product in all the circumstances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pipes defective because there were widespread adhesion problems between the CTE coating and the steel surface of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GVWD alleges that the pipes were defective because there were widespread adhesion problems between the CTE coating and the steel surface of the pipes. The GVWD further asserts that the widespread adhesion problems were caused, in part, by the fact that the preparation of the steel surface of the pipes did not meet the specifications. For the following reasons, I have concluded that the GVWD has not proven on a balance of probabilities that there were widespread adhesion failures so as to render the pipes defective. Nor has the GVWD proven that the preparation of the steel surface of the pipes did not meet the specifications and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GVWD relies on peel tests performed by various experts, as well as observations by experts of the pipes after the CTE coating was removed, as evidence that there were widespread adhesion failures.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5.3.8 of the AWWA standard defines the "peel test" which is the prescribed procedure for measuring the adhesion of the liquid adhesive and CTE coating for both the interior lining and the exterior coating. The section anticipates that the CTE coating will not exhibit 100% adhesion and allows a failure on a section of pipe. It also limits the number of tests to be performed on any pipe length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more than one test each of the interior lining and exterior coating shall be performed on each pipe section unless the test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peel length exceeds the cut width, the test is a failure and two additional tests shall be made at two different locations on the same pipe section...If both tests are satisfactory, the pipe section shall be approved. If either additional test fails, the pipe section shall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Supply Agreement and the CTE coating MIPs prepared by Dong Yang, and reviewed and accepted by GVWD, provide that one peel test was required for every five pipes, unless a failed peel test was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Dong-Tak Ihn, Moody's inspector, testified that he witnessed the Dong Yang inspector, Mr. Kim and his assistant conduct all of the peel tests. There were no peel test failures detected at Dong Yang or witnessed by Mr. Ihn.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GVRD claims that there was widespread adhesive failure of the pipe in Canada and that the most probable explanation is that the peel tests at the Mill were conducted improperly.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following is a summary of the peel tests conducted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091"/>
        <w:gridCol w:w="1464"/>
        <w:gridCol w:w="167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Levelton</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4, 2006</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 tested</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 failures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091"/>
        <w:gridCol w:w="1882"/>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Acuren</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10, 2006</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 tested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failures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 #2)</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091"/>
        <w:gridCol w:w="1882"/>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Acuren</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17, 2006</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 tested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failures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 #3)</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195"/>
        <w:gridCol w:w="177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Powertech</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23,</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 tested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failures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195"/>
        <w:gridCol w:w="177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GVRD/</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Kostachuk</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13, 2006</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tested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failures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GVWD submits that the peel tests performed at the Mill were conducted improperly and that the results cannot be relied on. There was evidence that all of the peel tests conducted at the Mill were conducted close to the end of the pipes, rather than at random locations on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15 of the pipes that were peel tested at Dong Yang were also peel tested in Canada. Thirteen of those 15 pipes passed peel tests at Dong Yang and in Canada. The evidence from Moody's expert, Brian Stott, is that in order to determine whether the peel tests conducted at the Mill were accurate, a test must be conducted next to the original test to determine if there are any differences. Although the GVWD could have easily verified the accuracy of the peel tests obtained by the Mill by having its staff or consultants conduct peel tests on a sample of the same pipes in the same area that were peel tested at the Mill, it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second area of concern raised by the GVWD is that there was evidence that the peel tests done at the Mill and observed by Mr. Ihn were not done in accordance with the AWWA standard because a hammer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the uncontradicted evidence is that the use of a hammer in conducting a peel test would likely result in more fails rather than more passes. In fact, s. 5.3.8 of the AWWA standard provides that care should be taken "to avoid imparting shock stresses within the enamel between the parallel cuts, thereby causing a shattering separation of the enamel from the pipe that may be erroneously interpreted as bond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light of the Mill's evidence that all of the peel tests were satisfactory, the use of the hammer to start the peel must not have caused harm. Since no failed tests were reported by the Mill, the method employed by it to conduct the peel tests is of no consequence,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considered the evidence as a whole, I have concluded that the GVWD has not proven on a balance of probabilities that the peel tests conducted by the Mill were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is that a peel test is a subjective test, and the results may vary depending on who is conducting the test. The fact that Acuren was the only inspection company to report any peel test failures is consistent with the expert evidence that peel testing is subjective. There were other tests that were called "peel" tests that were reported as fails, but the failures observed were cohesive failures, and not indicative of a problem with adhesion.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the determination of what "was reasonable to expect of the product in all the circumstances", and what constitutes a deficiency must be tied to the criteria that were prescribed by the GVWD. As stated earlier, the Supply Agreement required NAP to perform one peel test for every five lengths of pipe, unless the pipe failed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it is not open to the GVWD to contractually determine a pass/fail criteria, and then use a different criteria to determine whether the adhesion is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the GVWD relies on more general provisions regarding testing set out in the Supply Agreement, to the extent that the Supply Agreement (including the AWWA standard) sets out specific pass/fail criteria for certain tests, the general provisions must be read to be subject to the specific pass/fail criteria for those tests in determining whether or not NAP met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Many of the peel test results done in the lower mainland were invalid because of cohesive failures in the areas where the peel test was conducted. As stated earlier, the evidence is that the test is subjective, and that the AWWA standard contemplates some failures. In my view, the number of peel test failures which have been reported are not significant enough in number to conclude that there is a widespread or systemic adhesion problem which constitutes a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its argument, the GVWD relies on the evidence of Mr. Gummow, to establish that there were widespread adhesive failures. However, Mr. Gummow is not an expert in CTE coating. Rather, Mr. Gummow is an electrical engineer with an expertise in the cathodic protection of underground pipes. Cathodic protection is a process whereby an electrical current is supplied to the structure to be protected (such as a pipeline) through a ground bed. The direct current follows the current paths available and makes a connection with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Gummow's evidence is that he relied on the report of Mr. Aben of Powertech in determining that there were widespread adhesive failures. Mr. Gummow's initial observations were that "the inner layer was well bonded to the steel but was thin in spots". In his initial report, Mr. Gummow concluded that the pipe could be cathodically protected without removing all of the 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Subsequently, Mr. Gummow received a report from Powertech in which two problems with the inner layer of CTE coating were identified:</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blast profile on the steel was insufficient;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numerous locations where the inner coating was disbonded from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Gummow attended at a second site visit on August 29, 2006, after reviewing the Powertech report. He made some observations of the pipes at that time, including examples of what he considered poor adhesion. He concluded in his report of his second site visit: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problematic nature of the bond between the inner enamel coating layer and the pipe surface, the suspected poor blast profile, and the difficulty in locating disbonded coating non-destructively, it was recommended that all piping be recoated.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the GVWD had stopped the Gummow Procedure on August 23, 2006, prior to Mr. Gummow's site visit. When the GVWD put a stop to the Gummow Procedure in favour of stripping and re-coating the pipe, the GVWD relied on Powertech's report authored by Mr. Aben as is apparent from its letter of August 23, 2006 to NAP.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August 23, 2006 letter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fact that the GFM [glass fibre mat] has not been removed on some pipes pursuant to the repair specification, the surface of the CTE has been exposed. This has revealed numerous areas of bare steel. Powertech have therefore been able to examine both the CTE and Blast Profile of the steel.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Powertech advises that the Blast Profile, which is essential for good adhesion between the steel pipe and the CTE coating, is not in accordance with the contractual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Powertech has provided a report to GVWD (copy enclosed) which indicates that the current problems with the steel pipe, including the recently discovered problems with the Blast Profile, significantly compromise the service life of the pipe (by 1/3rd to 1/5th of what can be expected of pipe coated to industry standards). Accordingly, and in the circumstances, the GVWD has no option but to rescind the current repair specification and proceed to demand that the pipe be remediated by application of a new protective coating.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conclusions of the enclosed report this direction to recoat the pipe applies to all pipe and not just those that fail the peel test as indicated in the repair specification provided on August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Mr. Aben conceded in cross-examination that both the blast profile and surface cleanliness met the AWWA standard. Unfortunately, the Powertech report had other inaccuracies apart from the inaccurate statement that the pipe surface preparation did not meet the AWWA C203 standard. In performing and reporting his statistical analysis, Mr. Aben was selective in the test results he used, and ignored the test results that were favourable to NAP. Mr. Aben testified that he was told by the GVWD to ignore the favourable results on the 60" diameter pipes and to only use the failures of the 84" diameter pipes in his statistical analysis regarding the extent of the adhesion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a result of the misinformation and inaccuracies in the Powertech report, it is my view that little weight can be given to the report or to Mr. Aben's evidence at trial. It is noteworthy that the GVWD did not rely on the Powertech report or Mr. Aben's evidence regarding the adhesive failures of the CTE coating to the primer and the steel substrate in its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he sets out in his second report, Mr. Gummow's concerns arose in part because of the problems reported by Powertech. Although he observed some conditions that caused him concern, Mr. Gummow's evidence is that he is not a CTE coating expert and he relied on Powertech. In particular, he relied on Mr. Aben's comments that the steel surface of the pipe had an insufficient blast profile which was preventing proper adhesion of the primer and the CTE coating to the steel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Gummow agreed that the people who should be judging the level of bonding between the first layer of CTE coating and the steel substrate are "people who are expert or qualified to do coating inspection". As stated earlier, Mr. Gummow is not a CTE coating expert. He has no expertise in the preparation of the steel substrate, application methods, the rate of application, the rate of drying, pipe rotation, the impact of gassing, or other matters to do with the application of CTE coating to a steel pipe. Nor is he qualified to do coating inspections. Because he has no expertise in the area, little weight can be given to Mr. Gummow's opinions regarding the adhesive bond between the CTE coating and the steel surface of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Gummow's opinion was based on his assumption that the deficiencies he observed were the result of either the insufficient preparation of the pipe surface or improper application of the CTE coating. He concluded that the same deficiencies existed across the entire surface of the pipe. This theory may have been reasonable if the pipe's blast profile or cleanliness had actually been deficient. However, the evidence is that the blast profile and cleanliness met the specifications and were not deficient. In addition, it would have been impossible for anyone to draw a conclusion about the quality of the manufacture or application of the CTE coating at the point that Mr. Gummow made his observations in late August 2006 because of the coating stripping that had taken place, and the number of times the pipes had been moved and subjected to stresses and mechanical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AWWA standard recognizes that undue mechanical stress will damage CTE coating. This is reflected in s. 6.2 of the AWWA standard, which prohibits "[b]are cables, chains, hooks, metal bars, or narrow skids" from coming in contact with the coating for fear of causing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Mr. Gummow determined that the inner CTE coating disbonded easily from the steel substrate, he was examining pipe that had had its outer layers manually stripped using knives, chisels and other metal implements.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of Mr. Meldrum, Mr. Byrnes, Mr. McCann, Mr. Kufaas, and Mr. Ritchie was that the workers they observed performing the hand-stripping procedure were working very hard. Mr. Ritchie testified that the workers had great difficulty removing the CTE coating by hand, and they had to try different methods and tools in order to remove the coating. The evidence makes it clear that a significant amount of damage was unavoidably inflicted on the coating during the process of removing the exterior layers of the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arguing that the adhesive problems are widespread, the GVWD has relied chiefly on observations made of CTE coating after its outer layers had been stripped off with knives and chisels. The GVWD has not established that the condition of the CTE coating after the stripping was reflective of the condition of the CTE coating at the time it was applied. The evidence is to the contrary. NAP's expert, Mr. Byrnes, testified that stripping the pipe to remove the surface layers could result in cracking and fracturing in the enamel.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August 2006, the GVWD determined the pipe had adhesion problems because its blast profile was insufficient based on Mr. Aben's report. At trial, Mr. Aben admitted that his conclusion was false, and that he withheld information that was favourable to the defendants. Until Mr. Aben produced Powertech's August 23, 2006 report containing the misleading blast profile comments, all experts for the GVWD had concluded that the adhesion of the CTE coating to the steel substrate was sufficient. As noted earlier, the Gummow Procedure provided that the inner layer of CTE coating would be left intact. At trial Mr. Aben admitted that the pipe met the only two criteria recognized in the AWWA standard, namely surface profile and cleanliness. The evidence of those who properly tested the surface profile preparation using testex tape and magnification (the recognized method for testing the blast profile) was that the surface profile was satisfactory to achieve good adhesion.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Having considered the evidence about the adhesion failures on the pipes, it is my opinion that the GVWD has failed to adduce reliable evidence of a widespread or systemic adhesion problem between the CTE and the substrate. In the circumstances, I have concluded that the GVWD has not established on a balance of probabilities that there was a widespread or systemic adhesion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coating on the pipes defective because there was a cohesive problem between the layers of the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Based on the evidence, I have concluded that the GVWD has established that the CTE coating on the pipes was defective because of a cohesive problem between the layers of the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concede that delamination between the outerwrap and the inner CTE coating layers was observed to have occurred on a number of the pipes. However, they take the position that the problem was not widespread, as evidenced by the amount of difficulty encountered by the labourers involved in removing the outer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NAP submits that there is evidence from multiple sources of the difficulty encountered in stripping the coating by hand and knives, and that is the most compelling evidence that the delamination observed by the GVWD's witnesses was not widespread, and the outerwrap was, in fact, generally well fused to the inner CTE coating 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the evidence is that the parties, including the defendants' representatives, found numerous areas where the CTE coating layers were delaminated. As well, there were areas on the pipe where there were voids or thin spots on the coating which were deficiencies. In my view, the GVWD has established that to the extent there were cohesion problems, voids and thin spots in the coating, the pipes were defective.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pipes manufactured in accordance with the specifications and were the defects caused by the GVWD's specifications?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GVWD takes the position that the defendants' submissions that the cause of the delamination was the specification of a seal coat is a red herring and should be rejected for two reasons:</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theory is inconsistent with the overwhelming evidence that the outside coating could be peeled away without evidence of CTE coating on the seal coat outside of the void areas;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specification of the seal coat caused the cohesion problems NAP warranted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GVWD asserts that the defendants' experts admitted that the entrapment of gases was only a theory and there were other possible causes of the defects and the voids. Mr. Stott admitted that insufficient CTE temperatures, insufficient amounts of CTE applied or insufficient tension on the outer wrap causing insufficient bleed-through, could create inadequate bonding and voids.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GVWD says of particular significance is the fact the defendants' experts admitted that based on their theory they would expect to see evidence that the outer layer had initially bonded and then separated. This would include fragments of outerwrap left in the underlying layer (at areas outside of the voids) and evidence of coal tar attached to the underside of the outerwrap as it was being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GVWD says this is not consistent with the observations of witnesses who testified that they saw a shiny or glassy surface below the outer layer, no evidence of CTE remnants on the underside of the felt, and large sheets of delamination up to 10 to 12 square feet being peeled off by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well, the GVWD points to the evidence of its employees, Mr. Meldrum, Mr. Wilting and Mr. Jervis, who all testified that they had used the specification for a number of years without the cohesion problem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GVWD submits that the more probable cause of the cohesive failures was that the pipes were not manufactured to the GVWD's specification. The GVWD alleges that the cause of the delamination, thin spots and voids were errors by the Mill in not applying the CTE with sufficient thickness, not using sufficient tension or proper heat temperatures, and not obtaining the bleed-through that was required in order to obtain the proper adhesion between the outerwrap and underlying layer of CTE coating.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take the position that the CTE coating was applied in accordance with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They submit that the evidence of the three witnesses who observed the manufacture and testing of the pipe at the Mill, Seong-Ryong Lim, Sang Ho Yoon and Mr. Ihn, confirms that the CTE coating was applied in accordance with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Contrary to the GVWD's suggestion that the Mill lacked experience, Dong Yang has been in the business of producing CTE coated pipe since 1973. Mr. Lim, who was the manager at the Mill responsible for the production of the pipe, testified that in 2006 the Mill was typically applying about 60,000 to 80,000 square metres of CTE coating per month which represented approximately half of the Mill's production output.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Lim described the process by which the bare steel pipes were cleaned and prepared for coating, inspected for cleanliness and sufficient blast profile depth, and then coated with a primer, two layers of CTE, the glass fibre mat outerwrap, a seal coat of CTE and the Kraft paper. Mr. Lim explained in detail the calibration procedure that he supervised to ensure that the correct amount of CTE was applied to each size of pipe in order to obtain the minimum specified coating thickness. Mr. Lim also provided a detailed description of how the Mill melts the CTE and heats it to the application temperature recommended by the manufacturer, and how this temperature is verified prior to application. Finally, all of the Mill's measurement and inspection instruments are regularly calibrated and certified by authorized public facilities according to a regular maintenance schedule maintained by the Mill's quality assurance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NAP submits that Mr. Lim's evidence establishes that the Mill applied the CTE coating in accordance with the AWWA standard, with the exception of the application of the seal coat, which is not contemplated by the AWWA standard but is required by the Supply Agreement. NAP asserts that the evidence of Mr. Ihn confirms that the CTE coating was applied in accordance with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submit that the unrefuted expert evidence is that the cause of the delamination of the CTE coating layers, the thin spots and the voids was the GVWD's specifications that mandated that a seal coat be placed on the exterior of the outer wrap.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defence called three experts who opined on the cause of the cohesion problems, the thin spots, and the voids observed in the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Geoffrey Byrnes, NAP's expert, was qualified as a chemist who specializes in protective coating systems, including CTE coating, the inspection, testing and identification of defects in CTE coating, cathodic protection of pipelines, and the identification of appropriate rehabilitation strategies for CTE coatings and the underlying steel and primed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September 2006, Mr. Byrnes inspected some of the pipes and witnessed some stripping of the CTE coating and fibreglass felt. He reported his observations of five or six pipes that were in the process of being stripped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fibreglass felt was adhered to the lower layer of Coal tar enamel and the workers were having difficulty removing it. Examination of the pipes that had been stripped down to the base layer of Coal tar enamel revealed no visible defect in the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Byrnes goes on to state that he examined a number of pipes that had not been stripped, both visually and by tapping the surface in an effort to locate voids, and found no evidence of voids.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Byrnes explained that the AWWA standard provides that the fibreglass outerwrap is to be fused onto, but not buried in, the CTE. In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fibreglass felt outerwrap is designed to allow the vapour that is released from the coal tar enamel coating to pass through it and escape to the atmosphere. Once covered with an additional layer of enamel these volatiles will be trapped within the coating. This will have resulted in interfaces between the layers of coal tar enamel becoming planes of weakness in the coating system. Further, the application of hot enamel over the felt outerwrap will have resulted in some expansion of residual air and gasses trapped in the outerwrap causing some voids to form between the outerwrap and the original layers of enamel.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Byrnes noted that there were no widespread spontaneous intercoat delaminations. Rather, delamination occurred when the coating was cut with a knife. In his opinion, there was no reason to believe that the delamination reduced the ability of the CTE coating to protect the pipe and attenuate the electrical current demand on the cathodic protection system. He agreed in cross-examination that if moisture reached the steel surface of the pipe a problem could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Byrnes testified that his opinion was that the delaminations, voids, and thin areas exhibited in the CTE coating were caused by the GVWD's specification of the seal coat. In his report,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contention was the apparent lack of adhesion between the felt outerwrap and the inner layers of enamel although evidence suggests that some of the cases inspected involved separation between the two inner layers of enamel. To the extent that this concern was valid it was a direct consequence of GVRD's refusal to remain within the confines of the tried and established ANSI/AWWA Standard C-203-02 and insist that a seal coat be applied over the outerwrap. Any resultant deficiency was entirely caused by the GVRD Specification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Brian Stott, Moody's expert, was qualified as a chemist. He was on the task force that dealt with the technical aspects of the AWWA C203 standard from 1991 to 2001. He has worked for a company that supplied CTE coating, and has been involved in dealing with problems with the application of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Stott testified that the GVWD's specification differed from the AWWA C203-02 standard in a number of ways, including: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GVWD's specification did not comply with any of the approved CTE coating systems set forth in the AWWA standard;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GVWD's specification included a seal coat which is not recognized in the AWWA standard;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seal coat onto an outerwrap contradicts the AWWA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Stott's opinion can be summarized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seal coat over the outerwrap is not normal practice.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seal coat prevents some of the gases from escaping through the outerwrap, which caused the gases to be trapped above or below the outerwrap. This will cause a plane of weakness at the interfaces of the CTE and the outerwrap. The heat from the seal coat will also expand the trapped gases creating voids around the interfaces.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Typical exterior coating systems use innerwraps and outerwraps. The GVWD specification is not typical because it fails to call for the use of an innerwrap.</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features of an innerwrap permit it to be imbedded between two layers of CTE, whereas the design features of an outerwrap do not.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outerwrap is to provide exterior mechanical protection. Applying a seal coat to the exterior of an outerwrap undermines this function.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of using the outerwrap between coats, like an innerwrap, is likely to produce an inherent or latent defect.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cohesive bond formed between these layers is then relatively weak and may subsequently delaminate during normal shipping and handling.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Specifications for large diameter pipes, such as the pipes in this case, should call for the use of innerwraps and outerwraps.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his report, Mr. Stott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GVWD's specification required the use of a Seal coat on top of the outerwrap which buried the outerwrap preventing the release of trapped gasses, creating a plane of weakness and causing delaminations. This is in contradiction to the AWWA C203-02 section 4.4.9.4 which states "The outerwrap shall be applied to and fused onto, but not buried in, the outer surface immediately following the final coat of enamel." The GVWD requirement has thus compromised the integrity of the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Robert Bell, Moody's expert, was a chemist and a chemical engineer, who has expertise in failure analysis of coatings. Mr. Bell expressed the opinion that a proper coating failure analysis had not been conducted by the GVWD, and that the GVWD's coating system, i.e. the GVWD's specifications, had not been investigated to determine if it was adequate for the intended service. He concluded that based on the information he had received, the reported problems with the CTE coating were most likely caused by GVWD's deviation from the AWWA standard by adding a seal coat on top of the fibreglass outerwrap layer. Mr. Bell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experience and training as a coating failure analyst, and the evidence and assumptions referred to herein, in my opinion the deficiencies with the CTE coating system in the case at hand was most likely caused as a result of the GVWD specification itself. That specification called for the application of a CTE seal coat to be applied to the exterior of the outerwrap. The outerwrap is designed to be porous and allow the escape of gasses and fumes. The use of the seal coat trapped the gasses and fumes. The GVWD specification led to a weak CTE coating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GVWD did not call any expert who was qualified to refute these opinions. Neither Mr. Gummow nor Mr. Wise, the two experts GVWD relied on, were chemists and neither had the expertise to opine on the impact of trapped vapours and gases, and what impact the seal coat would have on trapped vapours and gases.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stated earlier, the GVWD argues that the better theory or more probable cause of the deficiencies were manufacturing defects. In particular, the GVWD argues that the probable cause was the Mill's failure to apply a sufficient thickness of CTE coating or use a sufficient tension and the proper temperature to obtain the proper adhesion between the outerwrap and the underlying 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the GVWD has not provided any reliable expert evidence to support its theory. No qualified expert testified that the cause of the deficiencies was not the seal coat, but rather another cause such as cooling. Instead, the GVWD suggests inferences can be drawn from the manner in which the failure occurred, the evidence regarding the experience of the Mill, and the fact that the GVWD has used its specification for other projects without the type of failures experienced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example, the GVWD argues that the Mill's lack of previous experience with glass fibre mat outerwrap may explain why it did not anticipate that the seal coat would cause deficiencies. However, that is not evidence that the Mill failed to achieve a sufficient bleed-through of the CTE through the outerwrap. Similarly, the Mill's decision to use spatulas to assist with the application of the outerwrap onto the pipe is not evidence that the Mill failed to obtain sufficient bleed-through, or "was having difficulty achieving fusion between the outerwrap and CTE", as submitted by the GVWD. On the contrary, the evidence of Mr. Lim was that the Mill used spatulas to ensure the proper adhesion of the outerwrap to the CTE coating and proper bleed-through.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GVWD points to the fact that the defence experts admitted that the cooling of the CTE between the consecutive applications of the coating is a possible cause of delamination. However, the GVWD did not produce any expert evidence that the lapse of time between coating applications in this case was, in fact, the cause of the delamination.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contrast, Mr. Byrnes, Mr. Stott, and Mr. Bell each included the duration of time between coating applications in the factual assumptions upon which they based their opinions that the trapped gases and volatiles were cause of the delamination. Mr. Byrnes explained that the voiding observed in this case is not consistent with what one would expect to see if the temperature of the enamel had dropped too low in between applications of the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GVWD alleges the CTE was of insufficient thickness and that this could have contributed to the cohesive problems. However, the evidence of the defendants' experts is that insufficient thickness would not lead to delamination or voiding in and of itself, and there is no expert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GVWD's expert evidence was to the effect that thickness tests conducted on some sections of stripped-down pipe revealed areas where the inner CTE layer did not meet the minimum required thickness of 1.6 mm. In other areas, the tests revealed that the thickness was adequate. This evidence is not consistent with the application of an insufficient thickness of CTE on a systemic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Lim provided detailed and unrefuted evidence of how the Mill prepares a sample of coated pipe to ensure that its CTE application process is properly adjusted to yield the sufficient dry film thickness. If the Mill had failed to properly perform this procedure, then one would expect the thickness of the coating to be uniformly inadequate, which was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measured thin spots are also explained by the gases and volatiles trapped by the seal coat. Mr. Byrne's evidence was that the application of hot enamel over the felt outer wrap will have resulted in the expansion of residual air and gases trapped in the outer wrap, causing some voids to form. Both Mr. Byrnes and Mr. Stott testified that voids would be expected from the trapped gases, and that they could appear as the roundish voids observed in the photographs of the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Based on the evidence of the only chemists who testified, the effect of the trapped gases beneath the seal coat is to exert an expanding and downward pressure displacing the CTE below it, and resulting in voids and thin spots in the underlying CTE. The defence experts testified that the voids and thin spots actually observed in this case are what one would expect to see in a case of trapped gases.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well, the evidence is that because the inner CTE layer was applied in two coats, if the seal coat and outerwrap layers are stripped off, the upper coat of the CTE may separate with the outerwrap and break away from the lower coat. Mr. Stott and Mr. Byrnes both came to the conclusion that it was unclear whether the GVWD's experts, who obtained the measurements of inadequate thickness of the inner CTE layer, measured the whole CTE coating below the outerwrap, or just the first layer because the seal coat and outerwrap layers had been removed from the areas where the measurements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the preponderance of the evidence establishes that the most probable cause of the thin spots in the inner CTE layer of the coating was that of the downward pressure of the trapped gases.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GVWD also points to the fact there was a lack of quality assurance at the Mill, and that the peel tests and holiday testing performed by the Mill were not in accordance with the AWWA standard, as supporting its theory that the cohesive problems were caused by errors in the application of the CTE coating to the pipes. However, those facts do not, in my view, establish that the deficiencies were caused by the manufacturing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GVWD also argues that the Mill's document retention policy is a relevant consideration because if some of the documents had not been destroyed, they might have been used to verify or impeach the testimony of Mr. Lim, Mr. Yoon and Mr. Ihn that the application procedures employed by the Mill were in accordance with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While the record-keeping in this case may not have complied with Dong Yang's policies, the test and inspection results were recorded daily and transferred to the Mill's inspection certificates. Mr. Ihn testified that the Mill's inspection certificates contain accurate records of the test and inspection results for this project. Mr. Ihn also testified that Dong Yang's inspector prepared inspection forms that Mr. Ihn reviewed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Mr. Lim and Mr. Yoon gave evidence in a forthright manner. Their evidence was consistent, supported by the Mill's inspection certificates, and independently verified by the evidence of Mr. Ihn. While some information was copied from one report to another, which is not ideal, the reports also contained specific information relating to the pipes being manufactured that day or week. As a result, there is no reason to infer that the records kept and produced by the Mill do not reflect the actual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Finally, the GVWD argues that the evidence of the defence experts is inconsistent with the evidence of the GVWD's own employees who reported that they have not seen this problem on other projects where a seal coat layer has been used over the outerwrap. The GVWD relies on circumstantial evidence, i.e. the suggestion that the GVWD's specifications have been used for many years without problem, to defend the integrity of the GVWD's specifications. It has provided no evidence of the analysis or research that went into the development of the specifications, and in particular, the reason for departing from the requirement of the AWWA standard that the outerwrap not be buried in the CTE.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Meldrum testified that the seal coat layer has been included in the GVWD's standard specifications since 1978. However, Mr. Jervis confirmed that the actual specification that formed part of the Supply Agreement (using both a fibre glass mat and seal coat) first came into use 16 years ago. Further, Mr. Jervis agreed that 16 years is a short length of time to evaluate the adequacy of a pipe's corrosion protection. In my view, evidence that the GVWD's specification has been used for 16 years is not conclusive of the fact that the specification of the seal coat has not caused the deficiencies observed in the pipes, in light of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GVWD has failed to submit expert evidence from any chemist that refutes the opinions of Mr. Stott, Mr. Byrnes, and Mr. Bell that the application of the seal coat over the glass fibre mat outerwrap caused the delamination, the voids, and the thin spots observed in some areas of the coating on the pipes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well, there is no evidence that the GVWD did a proper failure analysis to determine the cause of the failure, although it was in a position to do so. Rather, as stated earlier, it argues that inferences should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GVWD submits that the defendants' experts conceded there were other possible causes of the cohesive deficiencies. However, none of the defendants' experts retreated from their opinions that the most probable cause of the deficiencies in this case was the GVWD's specification of the seal coat over the outerwrap.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stated earlier, there was no evidence introduced by the GVWD to explain why the GVWD's specifications varied from the AWWA standard or what, if any, review process was undertaken by the GVWD when it drafted the specification, or determined it was suitable for this pipe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Having considered the evidence as a whole, I have concluded that the defendants have established that the pipe was manufactured in accordance with the specifications, and that the most probable cause of the delamination, thin spots, and voids in the CTE coating is the GVWD's specification requiring the application of the seal coat over the outerwrap.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NAP contractually responsible for any defects arising from the GVWD's specification?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GVWD asserts this is neither an experts' case nor a construction case. The GVWD argues this is a sale of goods case and the obligations of the parties must be determined by reference to the Supply Agreement. The primary purpose of the Supply Agreement was the supply of goods and it was not a contract for the performance of work or the provisions of services. The GVWD asserts that the fundamental question is whether NAP supplied the pipe that was fit for its intended purpose as contemplated by the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GVWD submits that the defendants have mischaracterized the nature of the case, and have failed to properly address where the evidentiary burden lies. The GVWD submits that, as the purchaser, it was entitled under the Supply Agreement to receive the pipe in good condition, free from defects and fit for its intended purpose. The GVWD takes the position that the defendants have offered no evidence to contradict the GVWD's expert opinions that the pipe was not 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GVWD argues that the inclusion of the contractor's warranties in clauses 4.4.2 - 4.4.4 of the Supply Agreement makes NAP liable for the extra costs associated with correcting the seal coat defects, notwithstanding that the specifications were mandated by the GVWD. The GVWD submits the warranties prevent NAP from escaping liability on the ground that it was simply using the materials and applying the techniques specified by the GVWD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GVWD points to the fact that NAP is an experienced contractor and has bid on several tender calls incorporating similar, if not identical, terms and conditions to the Supply Agreement. In addition, the evidence is that NAP had an opportunity to review the tender specifications with Dong Yang and to request that changes be made to coating specifications. The GVWD submits that all of these facts support a finding that NAP accepted the risk involved in the undertaking and was prepared to tender in accordance with specifications that required the provision of a written guarantee that the pipe delivered to the GVWD was without defect and fit for its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GVWD submits that the effect of the express warranty provisions of the Supply Agreement is to make NAP liable for any additional expense the GVWD incurred to complete the contract. The GVWD says there is no question that the pipe could have been manufactured in compliance with the specification and in a manner that was free of the defects such as those encountered with the coating.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NAP's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NAP takes the position that the GVWD's argument that the contractual covenants and warranties in the Supply Agreement make NAP responsible for the deficiencies cannot be sustained on a proper construction of the Supply Agreement. In the alternative, NAP submits that having directed NAP to construct the coating using a seal coat, the GVWD is estopped from relying on the warranties or other provisions of the Supply Agreement to claim damages arising out of NAP's compliance with the GVWD's own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 further alternative, NAP argues that by seeking to use the warranties and other provisions of the Supply Agreement to deprive NAP from payment under the contract, the GVWD is in breach of its duty not to act in such a way as to deprive NAP of the objective of the parties' bargain, which in this case, was to supply and receive payment for the specified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Supply Agreement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WARRANTY AND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9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4.4.1</w:t>
            </w:r>
          </w:p>
        </w:tc>
        <w:tc>
          <w:tcPr>
            <w:tcW w:w="890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Supply Contractor agrees that the Goods manufacturer's standard warranty will be to the benefit of the Corporation and that the Goods are free from all defects arising from faulty construction, manufacturing, materials, equipment or workmanship for the period of the Goods manufacturer's standard warranty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9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w:t>
            </w:r>
          </w:p>
        </w:tc>
        <w:tc>
          <w:tcPr>
            <w:tcW w:w="890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Supply Contractor warrants and guarantees that the Goods are free from all defects arising from faulty construction, manufacturing, installation, materials, equipment or workmanship in any part of the Goods for a period of two years commencing from the date of acceptance by the Engineer. During the warranty period, the Supply Contractor, upon the receipt of notice in writing from Corporation or the Engineer, shall promptly make all repairs arising out of the defects referred to in this Clause 4.4.2. The Corporation shall be entitled to make such repairs, if 10 Days after the giving of such notice to the Supply Contractor, the Supply Contractor has failed to make or undertake with due diligence the repairs. In case of an emergency, where, in the opinion of the Corporation or the Engineer, delay could cause serious loss or damage, or inconvenience to the public, repairs may be made without notice being sent to the Supply Contractor, only after all reasonable attempts have been made to contact the Supply Contractor. The costs of any repair made by the Corporation in connection with this Clause 4.4.2 shall be charged to the Supply Contractor and the Supply Contractor shall reimburse the Corporation for such costs. All covenants and agreements shall continue to be binding on the Supply Contactor until they have been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9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4.4.3</w:t>
            </w:r>
          </w:p>
        </w:tc>
        <w:tc>
          <w:tcPr>
            <w:tcW w:w="890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relying on the Supply Contractor's skill and judgment in selecting and providing the proper Goods and any applicable services for the Corporation's particular use. The Supply Contractor warrants to the Corporation and its successors in interest that the Goods and any services covered hereby will correspond with the description of the same in the Contract Documents, will conform to all applicable Specifications, will be new and of the best quality and, unless otherwise specified, will be fit for the purpose for which they are to be used and will conform in all aspects, both in the manufacture and use thereof, with all applicable safety orders or regulations of the Province of British Columbia. The Supply Contractor also warrants that the Goods are free and clear of all liens and encumbrances whatsoever and that the Supply Contractor has a good and marketable title to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9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4.4.4</w:t>
            </w:r>
          </w:p>
        </w:tc>
        <w:tc>
          <w:tcPr>
            <w:tcW w:w="890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Supply Contractor warrants and guarantees that the Goods are free from all defects arising at any time from faulty design in any part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GVWD argues that when a cause of action is founded on the implied warranties in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or, as in the present case, on an express warranty of fitness and quality contained in a contract for the supply of goods, the onus is on the plaintiff to show that the goods were defective and that the defect, latent or patent, existed when the goods were delivered by the defendant. The plaintiff, however, is not required to prove the cause of the defect: </w:t>
      </w:r>
      <w:r>
        <w:rPr>
          <w:rFonts w:ascii="arial" w:eastAsia="arial" w:hAnsi="arial" w:cs="arial"/>
          <w:i/>
          <w:color w:val="000000"/>
          <w:sz w:val="20"/>
          <w:lang w:val="en-US" w:eastAsia="en-US" w:bidi="ar-SA"/>
        </w:rPr>
        <w:t>Canadian William A. Rogers Limited v. Lucerne Metal &amp; Plastic Products Limited,</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[1949] O.R. 135</w:t>
        </w:r>
      </w:hyperlink>
      <w:r>
        <w:rPr>
          <w:rFonts w:ascii="arial" w:eastAsia="arial" w:hAnsi="arial" w:cs="arial"/>
          <w:color w:val="000000"/>
          <w:sz w:val="20"/>
          <w:lang w:val="en-US" w:eastAsia="en-US" w:bidi="ar-SA"/>
        </w:rPr>
        <w:t xml:space="preserve"> at p. 140 (Ont. C.A.); </w:t>
      </w:r>
      <w:r>
        <w:rPr>
          <w:rFonts w:ascii="arial" w:eastAsia="arial" w:hAnsi="arial" w:cs="arial"/>
          <w:i/>
          <w:color w:val="000000"/>
          <w:sz w:val="20"/>
          <w:lang w:val="en-US" w:eastAsia="en-US" w:bidi="ar-SA"/>
        </w:rPr>
        <w:t>Schreiber Brothers Limited v. Currie Products Limited,</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[1980] 2 S.C.R. 78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Schreiber Brothers Limited</w:t>
      </w:r>
      <w:r>
        <w:rPr>
          <w:rFonts w:ascii="arial" w:eastAsia="arial" w:hAnsi="arial" w:cs="arial"/>
          <w:color w:val="000000"/>
          <w:sz w:val="20"/>
          <w:lang w:val="en-US" w:eastAsia="en-US" w:bidi="ar-SA"/>
        </w:rPr>
        <w:t>, the Court noted the following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the plaintiff purchaser, suing for damages for breach of the implied condition of merchantable quality, had the burden of proof, in the light of the pleadings, of excluding its faulty workmanship as a probable cause of the blistering of the asphalt. This it did, to the satisfaction of the trial judge and without challenge by the Court of Appeal. Again, in the light of the pleadings and of the evidence it was an obligation of the plaintiff to exclude other probable causes after the asphalt was delivered by Currie. The trial judge found that it had done so and, again, there was no remonstrance by the Court of Appeal. This leaves the question whether the existence of a defect in the asphalt, either when it left the Gulf plant or when it left Currie, the supplier, must be shown affirmatively or may be proved by inference from the evidence as a whole. Proof of a defect must be made, of course, whether the purchaser of the product is plaintiff, suing for damages, or is defendant, resisting an action for the price. The trial judge found, as I have already noted, that the asphalt reached the plaintiff in the same condition that it was in when it left the Gulf plant; in short, that the defect in the asphalt was not attributable to anything that Currie did or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clear from the case law that the burden is on the GVWD to show the goods are defective, which it has done. In response to the allegation that the goods are defective, the defendants pleaded that the defects were caused by the GVWD's specifications. NAP says that it was required by the Supply Agreement to manufacture the pipes in accordance with the GVWD's specifications. At trial, the defendants adduced expert evidence to show that the defect in the goods was caused by the GVWD's specifications. In my view, in light of the pleadings, the GVWD has the burden of adducing evidence to prove that the defect in the CTE coating was not attributable to the GVWD's specification. It has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Instead, the GVWD relies on </w:t>
      </w:r>
      <w:r>
        <w:rPr>
          <w:rFonts w:ascii="arial" w:eastAsia="arial" w:hAnsi="arial" w:cs="arial"/>
          <w:i/>
          <w:color w:val="000000"/>
          <w:sz w:val="20"/>
          <w:lang w:val="en-US" w:eastAsia="en-US" w:bidi="ar-SA"/>
        </w:rPr>
        <w:t>Steel Co. of Canada v. Willand Management Ltd.</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[1966] S.C.R. 746</w:t>
        </w:r>
      </w:hyperlink>
      <w:r>
        <w:rPr>
          <w:rFonts w:ascii="arial" w:eastAsia="arial" w:hAnsi="arial" w:cs="arial"/>
          <w:color w:val="000000"/>
          <w:sz w:val="20"/>
          <w:lang w:val="en-US" w:eastAsia="en-US" w:bidi="ar-SA"/>
        </w:rPr>
        <w:t>, for the proposition that the inclusion of the warranties in the Supply Agreement makes NAP liable for the extra costs associated with correcting the seal coat defects, notwithstanding that the specifications were prepared by the GVWD.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British Columbia Court of Appeal has defined a "warranty" as "a promise to bear the risk of the loss that will flow from a failure of a fact to occur in the future": </w:t>
      </w:r>
      <w:r>
        <w:rPr>
          <w:rFonts w:ascii="arial" w:eastAsia="arial" w:hAnsi="arial" w:cs="arial"/>
          <w:i/>
          <w:color w:val="000000"/>
          <w:sz w:val="20"/>
          <w:lang w:val="en-US" w:eastAsia="en-US" w:bidi="ar-SA"/>
        </w:rPr>
        <w:t>Gallen v. Allstate Grain Co.</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(1984), 25 B.L.R. 314</w:t>
        </w:r>
      </w:hyperlink>
      <w:r>
        <w:rPr>
          <w:rFonts w:ascii="arial" w:eastAsia="arial" w:hAnsi="arial" w:cs="arial"/>
          <w:color w:val="000000"/>
          <w:sz w:val="20"/>
          <w:lang w:val="en-US" w:eastAsia="en-US" w:bidi="ar-SA"/>
        </w:rPr>
        <w:t xml:space="preserve"> (B.C.C.A.) at para. 39. A "guarantee" has been defined as "an accessory contract by which the promisor undertakes to be answerable to the promisee for the debt, default or miscarriage of another person": </w:t>
      </w:r>
      <w:r>
        <w:rPr>
          <w:rFonts w:ascii="arial" w:eastAsia="arial" w:hAnsi="arial" w:cs="arial"/>
          <w:i/>
          <w:color w:val="000000"/>
          <w:sz w:val="20"/>
          <w:lang w:val="en-US" w:eastAsia="en-US" w:bidi="ar-SA"/>
        </w:rPr>
        <w:t>Morguard Trust Co. v. Heritage Horizons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(1987), 36 B.L.R. 16</w:t>
        </w:r>
      </w:hyperlink>
      <w:r>
        <w:rPr>
          <w:rFonts w:ascii="arial" w:eastAsia="arial" w:hAnsi="arial" w:cs="arial"/>
          <w:color w:val="000000"/>
          <w:sz w:val="20"/>
          <w:lang w:val="en-US" w:eastAsia="en-US" w:bidi="ar-SA"/>
        </w:rPr>
        <w:t xml:space="preserve"> at 25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GVWD submits that a contractor is responsible for investigating the workability of plans and specifications and must bear the consequences if the product or project cannot be built in accordance with those plans and specifications: relying on </w:t>
      </w:r>
      <w:r>
        <w:rPr>
          <w:rFonts w:ascii="arial" w:eastAsia="arial" w:hAnsi="arial" w:cs="arial"/>
          <w:i/>
          <w:color w:val="000000"/>
          <w:sz w:val="20"/>
          <w:lang w:val="en-US" w:eastAsia="en-US" w:bidi="ar-SA"/>
        </w:rPr>
        <w:t>Thorn v. London Corp.</w:t>
      </w:r>
      <w:r>
        <w:rPr>
          <w:rFonts w:ascii="arial" w:eastAsia="arial" w:hAnsi="arial" w:cs="arial"/>
          <w:color w:val="000000"/>
          <w:sz w:val="20"/>
          <w:lang w:val="en-US" w:eastAsia="en-US" w:bidi="ar-SA"/>
        </w:rPr>
        <w:t xml:space="preserve"> (1876), 1 App. Cas 120 (H.L.). The decision in </w:t>
      </w:r>
      <w:r>
        <w:rPr>
          <w:rFonts w:ascii="arial" w:eastAsia="arial" w:hAnsi="arial" w:cs="arial"/>
          <w:i/>
          <w:color w:val="000000"/>
          <w:sz w:val="20"/>
          <w:lang w:val="en-US" w:eastAsia="en-US" w:bidi="ar-SA"/>
        </w:rPr>
        <w:t>Thorn</w:t>
      </w:r>
      <w:r>
        <w:rPr>
          <w:rFonts w:ascii="arial" w:eastAsia="arial" w:hAnsi="arial" w:cs="arial"/>
          <w:color w:val="000000"/>
          <w:sz w:val="20"/>
          <w:lang w:val="en-US" w:eastAsia="en-US" w:bidi="ar-SA"/>
        </w:rPr>
        <w:t xml:space="preserve"> was followed by the Supreme Court of Canada in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xml:space="preserve"> The GVWD submits that the facts in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xml:space="preserve"> are analogous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the respondent contractor had constructed the appellant's roof using a particular material set out in the written specifications supplied by the appellant. The material proved unfit to withstand windstorms normal in the area and damage to the roof resulted. The respondent's contract with the appellant, after setting out this material in the specifications, contained a guarantee that "all the work above specified" would "remain weathertight" and that the materials supplied would be "first class and without defect," which the Court "construed as meaning 'first class and without defect' for the purpose of its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Court identified the issue before them at 749: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accordingly appears to me that the question which lies at the heart of this appeal is whether the responsibility for the results of using Curadex rests upon the appellant who prescribed it or upon the respondent who applied it, and in this regard it seems to me to be of first importance to consider the circumstances under which this adhesive came to be included in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Court then described the preparation of the specification, and the fact that the owner sought the advice of the contractor's general manager, who was a very knowledgeable roofer, about the best method to be used to construct the roof. The Court found that the contractor must have been taken to have had knowledge of the properties and utility of the product the owner was proposing.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response to the argument that the owner ran the risk of a bad result as a result of selecting the material and design, the Court stated the following at 753-754: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accept this proposition which appears to me to run contrary to a long line of decisions in England starting with </w:t>
      </w:r>
      <w:r>
        <w:rPr>
          <w:rFonts w:ascii="arial" w:eastAsia="arial" w:hAnsi="arial" w:cs="arial"/>
          <w:i/>
          <w:color w:val="000000"/>
          <w:sz w:val="20"/>
          <w:lang w:val="en-US" w:eastAsia="en-US" w:bidi="ar-SA"/>
        </w:rPr>
        <w:t>Thorn v. The Mayor and Commonalty of London</w:t>
      </w:r>
      <w:r>
        <w:rPr>
          <w:rFonts w:ascii="arial" w:eastAsia="arial" w:hAnsi="arial" w:cs="arial"/>
          <w:color w:val="000000"/>
          <w:sz w:val="20"/>
          <w:lang w:val="en-US" w:eastAsia="en-US" w:bidi="ar-SA"/>
        </w:rPr>
        <w:t xml:space="preserve"> [citation omitted] which have been followed in this country (see </w:t>
      </w:r>
      <w:r>
        <w:rPr>
          <w:rFonts w:ascii="arial" w:eastAsia="arial" w:hAnsi="arial" w:cs="arial"/>
          <w:i/>
          <w:color w:val="000000"/>
          <w:sz w:val="20"/>
          <w:lang w:val="en-US" w:eastAsia="en-US" w:bidi="ar-SA"/>
        </w:rPr>
        <w:t>Jones v. The Queen, supra, Sansan Floor Company v. Forst's Limited</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[1942] B.C.J. No. 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Grace v. Osler</w:t>
      </w:r>
      <w:r>
        <w:rPr>
          <w:rFonts w:ascii="arial" w:eastAsia="arial" w:hAnsi="arial" w:cs="arial"/>
          <w:color w:val="000000"/>
          <w:sz w:val="20"/>
          <w:lang w:val="en-US" w:eastAsia="en-US" w:bidi="ar-SA"/>
        </w:rPr>
        <w:t>, 19 W.L.R. 109, and the effect of which is summarized in part in Hudson's Building and Engineering Contracts, 8th ed., 1959, at p. 147 where it is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Sometimes, again, a contractor will expressly undertake to carry out work which will perform a certain duty or function in conformity with plans and specifications, and it turns out that the work constructed in accordance with the plans and specifications will not perform that duty or function. It would appear that generally the express obligation to construct a work capable of carrying out the duty in question overrides the obligation to comply with the plans and specifications, and the contractor will be liable for the failure of the work notwithstanding that it is carried out in accordance with the plans and specification. Nor will he be entitled to extra payment for amending the work so that it will perform the stipulated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After going through the facts and the law, the Court concluded at 754: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evidence discloses that both parties were fully alerted to any limitations which may have attached to the use of Curadex as an adhesive on these roof decks and in view of the fact that neither of them had had any experience in using it on sloping roofs, I think that some risk was involved. This may have been the reason why the appellant required the contractors who were tendering on the work to provide the guarantee in question, but whatever the reason may have been, it appears to me that any risk involved in the undertaking was accepted by those who were prepared to tender in accordance with specifications which included the requirement of providing a written guarantee that all material employed in the work was first class and without defect, and that "all work ... specified" would remain weather tight for a period of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CCH Canadian Ltd. v. Mollenhauer Contracting Co.</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[1976] 1 S.C.R. 49</w:t>
        </w:r>
      </w:hyperlink>
      <w:r>
        <w:rPr>
          <w:rFonts w:ascii="arial" w:eastAsia="arial" w:hAnsi="arial" w:cs="arial"/>
          <w:color w:val="000000"/>
          <w:sz w:val="20"/>
          <w:lang w:val="en-US" w:eastAsia="en-US" w:bidi="ar-SA"/>
        </w:rPr>
        <w:t xml:space="preserve">, the Court distinguished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xml:space="preserve"> on the basis that it dealt with a specific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xml:space="preserve"> does not stand for the broad proposition suggested by the GVWD that once a contractor or supplier makes a guarantee, he is liable regardless of the cause of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As well, it is my view, that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xml:space="preserve"> is distinguishable from this case on its facts. In </w:t>
      </w:r>
      <w:r>
        <w:rPr>
          <w:rFonts w:ascii="arial" w:eastAsia="arial" w:hAnsi="arial" w:cs="arial"/>
          <w:i/>
          <w:color w:val="000000"/>
          <w:sz w:val="20"/>
          <w:lang w:val="en-US" w:eastAsia="en-US" w:bidi="ar-SA"/>
        </w:rPr>
        <w:t>Steel Co. of Canada</w:t>
      </w:r>
      <w:r>
        <w:rPr>
          <w:rFonts w:ascii="arial" w:eastAsia="arial" w:hAnsi="arial" w:cs="arial"/>
          <w:color w:val="000000"/>
          <w:sz w:val="20"/>
          <w:lang w:val="en-US" w:eastAsia="en-US" w:bidi="ar-SA"/>
        </w:rPr>
        <w:t>, the contract was for the provision of construction services, not for the supply of material. The contractor was more knowledgeable and experienced about the work being undertaken than the owner. This is quite different from this case. The evidence is that the GVWD has a staff of experienced engineers, tasked with the job of designing and overseeing the construction of water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More importantly, the GVWD has not correctly characterized the role of the contractor's experience in its analysis. The issue is not whether the contractor had the relevant skills or experience, but whether the contractor is responsible for a defect of design because the owner relied upon them. The following passage from I.N. Duncan Wallace, </w:t>
      </w:r>
      <w:r>
        <w:rPr>
          <w:rFonts w:ascii="arial" w:eastAsia="arial" w:hAnsi="arial" w:cs="arial"/>
          <w:i/>
          <w:color w:val="000000"/>
          <w:sz w:val="20"/>
          <w:lang w:val="en-US" w:eastAsia="en-US" w:bidi="ar-SA"/>
        </w:rPr>
        <w:t>Hudson's Building and Engineering Contracts</w:t>
      </w:r>
      <w:r>
        <w:rPr>
          <w:rFonts w:ascii="arial" w:eastAsia="arial" w:hAnsi="arial" w:cs="arial"/>
          <w:color w:val="000000"/>
          <w:sz w:val="20"/>
          <w:lang w:val="en-US" w:eastAsia="en-US" w:bidi="ar-SA"/>
        </w:rPr>
        <w:t>, 11th edition (London: Sweet &amp; Maxwell, 1995) describes the concept in terms of an implied warranty: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employer does not employ an architect or other adviser, so that he is relying on the skill and judgment of the contractor, and the latter provides the design or specification, there is an implied term not only that the work will be carried out in a proper and workmanlike manner and with proper materials, but also that the work, when completed, will be suitable for its purpose (for instance, in the case of a dwelling-house, fit for human habitation).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latter part of the term fitness or suitability will not be implied if what the contractor undertakes is to build a house in accordance with the owner's plans and specification, </w:t>
      </w:r>
      <w:r>
        <w:rPr>
          <w:rFonts w:ascii="arial" w:eastAsia="arial" w:hAnsi="arial" w:cs="arial"/>
          <w:i/>
          <w:color w:val="000000"/>
          <w:sz w:val="20"/>
          <w:lang w:val="en-US" w:eastAsia="en-US" w:bidi="ar-SA"/>
        </w:rPr>
        <w:t>a fortiori</w:t>
      </w:r>
      <w:r>
        <w:rPr>
          <w:rFonts w:ascii="arial" w:eastAsia="arial" w:hAnsi="arial" w:cs="arial"/>
          <w:color w:val="000000"/>
          <w:sz w:val="20"/>
          <w:lang w:val="en-US" w:eastAsia="en-US" w:bidi="ar-SA"/>
        </w:rPr>
        <w:t xml:space="preserve"> if also to the satisfaction of the owner's architect or engineer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general rule is that defects caused by an owner's specification are not the responsibility of the contractor, unless the contractor expressly guarantees that the construction would be fit for a specific purpose, or a warranty can be implied by the owner's actual reliance on the contractor's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order to determine whether the warranties and guarantees given by NAP make it liable for any faults arising from the specification provided by the GVWD, the circumstances of the selection of the seal coat, and the specific wording of the Supply Agreement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GVWD is attempting to rely on the language of the Supply Agreement to argue that even if the alleged deficiencies were caused by the specification of the seal coat, the GVWD is not liable because NAP guaranteed that the pipe would be fit for its intended purpose and it was entitled to rely on NAP's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problem with this argument is that it ignores that NAP was also contractually obliged to build the pipe according to the GVWD's specifications and there is no evidence that the GVWD relied on NAP's skill and judgment to select the design or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GVWD developed its specifications without any input from NAP, and did not make any inquiries of NAP as to whether NAP was of the view the inclusion of the seal coat would cause problems with the fusion of the layers of CTE coating. The responsibility and control of the design process for the CTE coating was maintained by the GVWD throughout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guarantee and reliance provisions of the Supply Agreement are in direct conflict with NAP's express obligation in paragraph 4.4.3 to produce the pipe according to the specifications of the Supply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4.4.3 The Corporation is relying on Supply Contractor's skill and judgment in selecting and providing the proper Goods and any applicable services for the Corporation's particular use. The Supply Contractor warrants to the Corporation and its successors in interest that the Goods and any services covered hereby will correspond with the description of the same in the Contract Documents, will conform to all applicable Specifications, will be new and of the best quality and, unless otherwise specified, will be fit for the purpose for which they are to be used and will conform in all aspects, both in the manufacture and use thereof, with all applicable safety orders or regulations of the Province of British Columbia. The Supply Contractor also warrants that the Goods are free and clear of all liens and encumbrances whatsoever and that the Supply Contractor has a good and marketable title to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contradiction of these provisions is made clear under clause 4.3 of the Supply Agreement, where the same consequences apply to non-conforming and defective pipe: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4.3.1 If upon inspection, testing or otherwise the Goods or any portion thereof are found to be non-conforming, unsatisfactory, defective, or inferior quality or workmanship, or fail to meet any guarantee of operating or other specifications contained herein, or any other requirements of the Contract Documents, then without prejudice to any other rights or remedies, the Engineer may give notice of its dissatisfaction to the Supply Contractor ... and the Supply Contractor shall immediately upon receipt of such notice do all things that are required to satisfy the Engineer.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4.3.2 If upon inspection, testing or otherwise the Goods or any portion thereof are found to be non-conforming, unsatisfactory, defective, or inferior quality or workmanship, or fail to meet any guarantee of operating or other specifications contained herein, or any other requirements of the Contract Documents, then without prejudice to any other rights or remedies, the Corporation may return the Goods or any part thereof to the Supply Contractor at the Supply Contractor's sole cost and all amounts theretofore paid by the Corporation to the Supply Contractor on account of the Contract Price of such returned Goods, shall be repaid to the Corporation by the Supply Contractor.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4.3.3 If in the opinion of the Engineer any portion of the Goods supplied under the Contract is defective or not in accordance with the Contract Documents ... the Corporation shall be entitled to make such deductions from the payments due or to become due to the Supply Contractor as are just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this case, if NAP had manufactured pipes which did not have a seal coat they would be non-conforming, and if it manufactured with the seal coat they would be defective. In both cases, the pipes would have been subject to rejection by the GVWD.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Where the provisions of a contract are inconsistent, an attempt should be made to reconcile them by giving effect to the terms in accordance with the intention of the parties. If it is impossible to reconcile the terms in this way, then the term that is repugnant to the parties' intention is to be rejected in favour of giving effect to the term that reflects their real intention: </w:t>
      </w:r>
      <w:r>
        <w:rPr>
          <w:rFonts w:ascii="arial" w:eastAsia="arial" w:hAnsi="arial" w:cs="arial"/>
          <w:i/>
          <w:color w:val="000000"/>
          <w:sz w:val="20"/>
          <w:lang w:val="en-US" w:eastAsia="en-US" w:bidi="ar-SA"/>
        </w:rPr>
        <w:t>BG Checo v. BC Hydro</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NAP submits that the true intention of the parties in the Supply Agreement was for NAP to supply the GVWD with pipe that complied with the contract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Supply Agreement was by its nature a contract for material supply or procurement. It is clear from the following evidence that the parties never intended that NAP would provide any design services to the GVWD with respect to the pipe, or that the GVWD would rely on NAP's skill and judgment in selecting the design:</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Supply Agreement specified the materials, application and design of the external coating system for the pipe. Clause 2.1.1 of Section 09800 of the Supply Agreement specifies that "[t]he exterior surface coating (application, testing and repair), unless specified otherwise, shall be Coal-tar enamel coating to AWWA C203-02 for all pipe."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3.1 prescribes how the coating is to be constructed, again with reference to the AWWA standard, which is described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standard is to provide the requirements for coal-tar protective coatings and linings for steel water pipelines -- enamel and tape -- hot applied, including materials, application, verification, and delivery.</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 designed the coating system specified by the Supply Agreement. The design is unique in that it requires the application of a seal coat of CTE over a glass fibre outerwrap, a construction that is not contemplated by the AWWA standard.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that the coating system specified by the GVWD in the Supply Agreement is based on a standard specification developed, revised from time to time by an internal committee, and used by the GVWD for 16 years. The GVWD has procured pipe using this specification from various suppliers.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conditions 3.1.2, 4.1, and 4.4.3 of the Supply Agreement allowed NAP to request clarification of the specifications, but otherwise required NAP to construct the pipe as specified.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Meldrum testified that when he issued the tender for the pipe, he expected the bidders, including NAP, to submit their bids based on providing pipe in accordance with the specifications.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Ritchie of NAP testified that he did not feel at liberty to propose any significant changes to the specifications set out by the GVWD for fear that doing so would result in the disqualification of NAP's bid.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NAP did attempt to suggest an alternative design for the coating system specified by the GVWD after the Supply Agreement was awarded, the GVWD rejected the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evident from the nature of the Supply Agreement and the parties' expectations about its performance that the intention of the contract was that NAP would construct and supply the pipes, including the CTE coating, in accordance with the specifications of the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the warranty, reliance and performance provisions of the Supply Agreement must have been intended to be qualified by NAP's specific obligation to supply the pipe with the specified seal coat. Based on my review of the Supply Agreement and the evidence of the course of dealings of the parties, I have concluded that it was not the intention of the parties that NAP would guarantee any defects arising out of the design prepared by the GVWD. Looking at the Supply Agreement as a whole, it is my view that the parties could not have intended that liability would be imposed on NAP for deficiencies arising from manufacturing the pipes in accordance with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GVWD points to the provision in clause 4.4.4 of the Supply Agreement, that "[t]he Supply Contractor warrants and guarantees that the Goods are free from all defects arising at any time from faulty design in any part of the Goods" and says that NAP specifically accepted the responsibility for the GVWD's design including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However, the evidence is that the Supply Agreement was a standard form agreement prepared by the GVWD, and utilized on all of its projects. NAP played no part in developing the language of the Supply Agreement, other than to fill in the blanks where required for the purposes of bidding on the tender package. As stated earlier, NAP played no part in designing the pipe or its coating, selecting the materials, or designing the method of construction stipulated in section 09800 of the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If the position adopted by the GVWD is correct, the result would run contrary to the requirement in the Supply Agreement that the pipes be built in accordance with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Any ambiguities in the terms used in the guarantees and warranties should be construed against the party who drafted the contract in accordance with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w:t>
      </w:r>
      <w:r>
        <w:rPr>
          <w:rFonts w:ascii="arial" w:eastAsia="arial" w:hAnsi="arial" w:cs="arial"/>
          <w:i/>
          <w:color w:val="000000"/>
          <w:sz w:val="20"/>
          <w:lang w:val="en-US" w:eastAsia="en-US" w:bidi="ar-SA"/>
        </w:rPr>
        <w:t>Manulife Bank of Canada v. Conlin,</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[1996] 3 S.C.R. 415</w:t>
        </w:r>
      </w:hyperlink>
      <w:r>
        <w:rPr>
          <w:rFonts w:ascii="arial" w:eastAsia="arial" w:hAnsi="arial" w:cs="arial"/>
          <w:color w:val="000000"/>
          <w:sz w:val="20"/>
          <w:lang w:val="en-US" w:eastAsia="en-US" w:bidi="ar-SA"/>
        </w:rPr>
        <w:t xml:space="preserve"> at 431- 434;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page 901, Estey J., for the majority, provided the following comments in the context of an ambiguous insurance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apart from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as it may be applied in the construction of contracts, the normal rules of construction lead a court to search for an interpretation which, from the whole of the contract, would appear to promote or advance the true intent of the parties at the time of entry into the contract. Consequently, literal meaning should not be applied where to do so would bring about an unrealistic result or a result which would not be contemplated in the commercial atmosphere in which the insurance was contracted. Where words may bear two constructions, the more reasonable one, that which produces a fair result, must certainly be taken as the interpretation which would promote the intention of the parties. Similarly, an interpretation which defeats the intention of the parties and their objective in entering into the commercial transaction in the first place should be discarded in favour of an interpretation of the policy which promotes a sensible commercial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my view, the reasonable interpretation of the guarantee contained in clause 4.4.4 is that NAP warrants and guarantees that the pipes are free from all defects arising at any time from faulty design performed by NAP. This interpretation is consistent with the provision in the Supply Agreement in clause 11.2 that the tenderer can submit a tender based on specifications or terms that differ from the specifications or tender document. As well, this interpretation would, in my view, promote the intention of the parties that NAP was to supply pipes in accordance with the specifications prepared by the GVWD.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a result, I have a concluded that the terms of the Supply Agreement do not make NAP liable for defects caused by the specifications prepared by the GVWD.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Moody have any liability for any of the deficiencies as a result of failing to provide adequate inspection services during the manufacture of the pipes?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GVWD's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GVWD takes the position that Moody breached its contract with the GVWD, breached its duty of care to the GVWD, and was negligent because it failed to properly inspect the pipes for their compliance with the GVWD's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GVWD alleges in para. 55 of the amended statement of claim the pipes contained the following deficiencies.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felt layer was not fused to the underlying enamel as required by AWWA C203 and the GVWD's specification for Protective Coatings Section 09800 (collectively the "Standard");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underlying CTE layer was of insufficient thickness. The Standard provided that the thickness was to be 62.5 to 125 mils. The observed thickness on the steel pipe delivered to NAP was as low as 12 mils.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enamel was not properly bonded to the steel and several pipes failed the "peel tests";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of mill scale on the ends of the pipe;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that the pipe was not sandblasted to the requirements of the Standard;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of dimensional difficulties at the ends of the steel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GVWD submits that the Request for Proposal (the "RFP") contains the terms and conditions of the contract between the parties. It relies on the following terms of the RFP: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inspector(s) completing the inspections at the mill must be able to speak, read and write in English;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coating and lining inspector(s) must be NACE certified. Korean equivalents will be considered, and may or may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GVWD submits that the evidence supports the contention that Moody agreed to perform quality assurance services in accordance with the RFP and that these services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ensuring that the inspector appointed to provide quality assurance was NACE certified;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providing full-time inspection of the lining and CTE coating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monitoring the peel, cure and adhesion tests in accordance with the GVWD's quality control 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witnessing the production;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witnessing the CTE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GVWD says that Moody failed to comply with the requirements of its contractual undertaking, with the result that the defects in the CTE coating were not discovered until the pipe was delivered to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Moody's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Moody takes the position that the contractual documents were the proposal Moody made for inspection services and the purchase order issued by the GVWD. As a result, none of the terms and conditions of the RFP, including the requirement for a NACE certified inspector, form part of the contract between the GVWD and Moody. Moody takes the position that it fulfilled all of its contractual and other duties owed to the GVWD, and that the CTE coating was applied in accordance with the GVWD's specifications. Moody asserts that there is no evidence that the latent defects caused by the GVWD's specification could have been detected by the tests, measurements or inspections the inspector was required to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first issue to be addressed is what documents, and in particular whether the RFP, forms the contract between the GVWD and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An RFP is different from a request to tender. The determination of whether a particular invitation constitutes an invitation to tender or an RFP focuses on the intentions between the respective parties. Accordingly, the analysis that the courts employ to determine the contractual relationship between tendering parties is also applicable within the context of an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Supreme Court of Canada discussed when a contract was formed in the context of a tender in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and stated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tender, in addition to responding to an invitation for tenders, is also an offer to perform the work outlined in the plans and specifications for a particular price. The invitation for tenders is therefore an invitation for offers to enter into Contract B on the terms specified by the owner and for a price specified by the contractor. The goal for contractors is to make their bid as competitive as possible while still complying with the plans and specifications outlined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Court held it is not always the case that a contract A arises upon the submission of a tender. In order to determine whether a contract A arises, it is necessary to determine whether the parties intended to initiate contractual relations upon the submission of a bid in response to the invitation to tender. If the parties did intend to enter into a contractual arrangement, then the request to tender would constitute nothing more than an invitation to treat. Consistent with the traditional common law approach, the request to tender would not form part of any contract established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Moody has cited a number of cases in which courts have determined whether a RFP forms part of the contract, including: </w:t>
      </w:r>
      <w:r>
        <w:rPr>
          <w:rFonts w:ascii="arial" w:eastAsia="arial" w:hAnsi="arial" w:cs="arial"/>
          <w:i/>
          <w:color w:val="000000"/>
          <w:sz w:val="20"/>
          <w:lang w:val="en-US" w:eastAsia="en-US" w:bidi="ar-SA"/>
        </w:rPr>
        <w:t>Leeds Transit Sales Ltd. v. Ottawa (City)</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[2004] O.J. No. 3933</w:t>
        </w:r>
      </w:hyperlink>
      <w:r>
        <w:rPr>
          <w:rFonts w:ascii="arial" w:eastAsia="arial" w:hAnsi="arial" w:cs="arial"/>
          <w:color w:val="000000"/>
          <w:sz w:val="20"/>
          <w:lang w:val="en-US" w:eastAsia="en-US" w:bidi="ar-SA"/>
        </w:rPr>
        <w:t xml:space="preserve">, 2004 CarswellOnt 3894; </w:t>
      </w:r>
      <w:r>
        <w:rPr>
          <w:rFonts w:ascii="arial" w:eastAsia="arial" w:hAnsi="arial" w:cs="arial"/>
          <w:i/>
          <w:color w:val="000000"/>
          <w:sz w:val="20"/>
          <w:lang w:val="en-US" w:eastAsia="en-US" w:bidi="ar-SA"/>
        </w:rPr>
        <w:t>Mellco Developments Ltd. v. Portage la Prairie (City)</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2002 MBCA 125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v. Alberton (Town)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(1993), 14 B.L.R. (2d) 99</w:t>
        </w:r>
      </w:hyperlink>
      <w:r>
        <w:rPr>
          <w:rFonts w:ascii="arial" w:eastAsia="arial" w:hAnsi="arial" w:cs="arial"/>
          <w:color w:val="000000"/>
          <w:sz w:val="20"/>
          <w:lang w:val="en-US" w:eastAsia="en-US" w:bidi="ar-SA"/>
        </w:rPr>
        <w:t xml:space="preserve"> (P.E.I.S.C.T.D.); </w:t>
      </w:r>
      <w:r>
        <w:rPr>
          <w:rFonts w:ascii="arial" w:eastAsia="arial" w:hAnsi="arial" w:cs="arial"/>
          <w:i/>
          <w:color w:val="000000"/>
          <w:sz w:val="20"/>
          <w:lang w:val="en-US" w:eastAsia="en-US" w:bidi="ar-SA"/>
        </w:rPr>
        <w:t>Buttcon Ltd. v. Toronto Electric Commissioners</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(2003), 38 B.L.R. (3d) 106</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Wind Power Inc. v. Saskatchewan Power Corp.</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2002 SKCA 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considering whether a RFP forms part of a contract, the courts have looked at the overall dealing between the parties to determine if they intended to establish contractual relations upon the submission of a bid. No single factor is determinative. Some of the factors courts have considered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further negotiations are required after the submission of a bid. Where negotiations are necessary, it is likely the court will find that no contractual relationship has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owner has the discretion to reject any and all bids. Where the owner is afforded such discretion, it is likely that the process will be something other than a formal tendering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nature and scope of the selection criteria. Where the selection criterion is limited to that of cost, a court is more likely to equate the bid submission framework with a formal tendering process. Where the price consideration is secondary to qualitative and/or other considerations, it is more likely a court will equate the process with an RFP.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Established timelines for the opening of proposals, provisions that proposals are irrevocable and/or requirements that a deposit be submitted with a bid are indicia of a formal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evidence does not support the GVWD's submission that it intended to establish a contractual relationship with Moody at the time that it issued its RFP. First, the RFP stipulates that GVWD reserves the right to reject any and all proposals. Second, cost appears to be a secondary consideration with respect to the proposal evaluation. The evidence is that the GVWD gave equal, if not greater weight, to considerations such as the bidders' ability to deliver the service, and the bidders' familiarity with technical issues associated the quality service inspection work. Third, the RFP contained no irrevocability provision. Fourth, no deposit was required. Finally, the RFP allows for further negotiation, thereby indicating that the terms of any contract were not finalized by virtue of the RFP. Moreover, Mr. Meldrum admitted that the GVWD did not intend to establish a contractual relationship with Moody at the time it issued the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wording of the RFP and Mr. Meldrum's admission are inconsistent with a formal tendering process. It follows that no contractual relationship was entered into at the time that Moody submitted its proposal to the GVWD. In my view, the RFP was tantamount to an invitation to treat. As such, the RFP, without more, does not form part of the contract documents between the parties. In my view, the documents forming the contract between the parties are Moody's proposal and the purchase order. As a result, none of the conditions contained in the RFP, including the requirement of a NACE Certified inspector, form part of the contract between the GVWD and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alternative, the GVWD argues that it was an implied term of the contract that the Moody inspector be NACE certified. However, the GVWD was aware from Moody's proposal that Mr. Ihn would be the inspector. The evidence is that in response to a specific inquiry about whether Mr. Ihn was NACE certified, Mr. Meldrum was advised: "[p]lease be informed that Mr. Ihn has only NDE Level II Certificate as attached." Mr. Meldrum's evidence is that he received and read the email but never communicated further with anyone at Moody, indicating that he was still uncertain about whether Mr. Ihn was NACE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any event, the evidence is that Mr. Ihn possessed credentials and qualifications which were the equivalent of a NACE certified inspector. The GVWD relies on Mr. Broughton's evidence regarding the appropriate standard of care for an inspector. Mr. Broughton testified that an inspector that has 30 years of experience doing inspection work might well have all of the requisite experience and training equivalent to a NACE certified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Ihn testified that he has worked as an inspector for approximately 30 years. He graduated from Ihna Junior College in 1997 with a degree in mechanical engineering. After graduating, he took numerous courses in destructive and non-destructive testing and production line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Although Mr. Ihn did not have any prior experience in inspecting CTE coating, he had extensive experience inspecting coatings of pipes. Mr. Ihn testified that his work experience in coating inspection commenced in 1977. He has extensive experience reviewing coating specifications, coating standards, coating test equipment, and using product technical data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is apparent from his evidence that Mr. Ihn is knowledgeable and experienced in different coating techniques and common coating failures. Mr. Ihn also possessed significant experience in pipe inspection and pipe coating inspection both in factory and in the field. Mr. Ihn had experience witnessing holiday testing, DFT testing, adhesion testing and assessing blast profile and anchor patterns. Prior to this assignment, Mr. Ihn had conducted inspections at the Dong Yang factory seven or eight times. The evidence is that these qualifications are equivalent to those of a NACE certified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Although the GVWD submits that Mr. Ihn lacked the requisite skill to conduct the inspection services required, it provided no evidence to support that allegation. As stated earlier, Mr. Broughton addressed the qualifications of a NACE inspector, but GVWD did not have him comment on Mr. Ihn's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general standard of care owed by professionals is discussed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28. There, the Court stated that the standard of care depends heavily on the facts of the case, including the likelihood of a known or foreseeable harm, the gravity of that harm, and the burden or cost of its prevention.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That standard is also discussed in </w:t>
      </w:r>
      <w:r>
        <w:rPr>
          <w:rFonts w:ascii="arial" w:eastAsia="arial" w:hAnsi="arial" w:cs="arial"/>
          <w:i/>
          <w:color w:val="000000"/>
          <w:sz w:val="20"/>
          <w:lang w:val="en-US" w:eastAsia="en-US" w:bidi="ar-SA"/>
        </w:rPr>
        <w:t>Hilton Canada Inc. et al v. S.N.C. Lavalin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Hilton</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2000 NSCA 41</w:t>
        </w:r>
      </w:hyperlink>
      <w:r>
        <w:rPr>
          <w:rFonts w:ascii="arial" w:eastAsia="arial" w:hAnsi="arial" w:cs="arial"/>
          <w:color w:val="000000"/>
          <w:sz w:val="20"/>
          <w:lang w:val="en-US" w:eastAsia="en-US" w:bidi="ar-SA"/>
        </w:rPr>
        <w:t xml:space="preserve">, where the Court adopted the following statement from B.M. McLachlin, W.J. Wallace &amp; A.M. Groat, </w:t>
      </w:r>
      <w:r>
        <w:rPr>
          <w:rFonts w:ascii="arial" w:eastAsia="arial" w:hAnsi="arial" w:cs="arial"/>
          <w:i/>
          <w:color w:val="000000"/>
          <w:sz w:val="20"/>
          <w:lang w:val="en-US" w:eastAsia="en-US" w:bidi="ar-SA"/>
        </w:rPr>
        <w:t>The Canadian Law of Architecture and Engineering</w:t>
      </w:r>
      <w:r>
        <w:rPr>
          <w:rFonts w:ascii="arial" w:eastAsia="arial" w:hAnsi="arial" w:cs="arial"/>
          <w:color w:val="000000"/>
          <w:sz w:val="20"/>
          <w:lang w:val="en-US" w:eastAsia="en-US" w:bidi="ar-SA"/>
        </w:rPr>
        <w:t>, 2nd ed. (Toronto: Butterworths, 1994)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engineer owes a duty to exercise the skill, care and diligence which may reasonably be expected of a person of ordinary competence, measured by the professional standard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From the cases, it is apparent that in determining whether a professional met the requisite standard of care, the following should be considered:</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is that of an </w:t>
      </w:r>
      <w:r>
        <w:rPr>
          <w:rFonts w:ascii="arial" w:eastAsia="arial" w:hAnsi="arial" w:cs="arial"/>
          <w:i/>
          <w:color w:val="000000"/>
          <w:sz w:val="20"/>
          <w:lang w:val="en-US" w:eastAsia="en-US" w:bidi="ar-SA"/>
        </w:rPr>
        <w:t>ordinary</w:t>
      </w:r>
      <w:r>
        <w:rPr>
          <w:rFonts w:ascii="arial" w:eastAsia="arial" w:hAnsi="arial" w:cs="arial"/>
          <w:color w:val="000000"/>
          <w:sz w:val="20"/>
          <w:lang w:val="en-US" w:eastAsia="en-US" w:bidi="ar-SA"/>
        </w:rPr>
        <w:t xml:space="preserve"> professional;</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be assessed at the time the work was done;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applies his opinion with reasonable competence it is sufficient if a professional follows the accepted body of professional opinion, even if there is opinion to the contrary;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professional does not guarantee that his work will be successful. Provided he exercise reasonable judgment, competence and diligence doing the work, a professional may be incorrect without being negligent or in breach of contract.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Wilson v. Swansen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Moody admits that it owed a duty of care to the GVWD but says that the standard of care owed was that of an ordinary, reasonable and prudent inspector. Moody submits that the GVWD has failed to produce any evidence to support its claim that either Mr. Ihn or Moody were negligent or otherwise breached the contract with the GVWD.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main thrust of the GVWD's argument is that Moody failed to detect and/or report application or manufacturing errors, and that the detection and reporting of these errors was within the scope of Moody's duties and responsibilities. However, having found that the pipes were manufactured in accordance with the GVWD's specifications, and that the defects in the CTE coating were caused by the GVWD's specification, there is no basis for a finding of any liability against Moody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only issue is whether the cohesive defects caused by the GVWD's specification should have been detected by Moody during the manufacturing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GVWD criticizes the inspections conducted by Moody and suggests that if Moody had performed its services in accordance with the RFP, the defects in the coating would have been discovered at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However, as stated earlier, the RFP did not define the services that Moody was to provide. Rather, the Moody proposal together with the MIPs set out the duties and responsibilities of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MIPs, which were approved by the GVWD, set out the inspection responsibilities of both the Mill and Moody. Although Mr. Meldrum suggested that he did not realize the third party referred to in the MIPs was Moody, there was an email exchange between Moody and the GVWD on March 9, 2006, in which Moody asked Mr. Meldrum if the scope of Mr. Ihn's inspection would remain unchanged after the MIPs were forwarded to him, in light of the revised procedures in the MIPs. The email attached another email from Korea in which the following inquiry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well, Mr. D.T. Ihn is performing the inspections at Dong Yang Pipe based on full time inspection according to the assignment instruction.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way, we found that the third party inspection for only final inspection and some spot witness are required on the revised manufacturing and inspection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you please let us know how to proceed with the inspection for this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Meldrum responded affirmatively, and stated that Mr. Ihn should observe the peel, cure, and adhesion test. The testing requirement was confirmed as one peel test per five pipes unless there was a failure. If a pipe failed two peel tests, then the whole pipe was to be re-coated. Based on the documents, it would appear that in March 2006, Mr. Meldrum understood the notation "third party inspector" in the MIPs was a reference to Moody. It is apparent from the documents, including the MIPs, that Moody was retained to monitor and report, not to conduct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GVWD alleges that if the various tests had been performed correctly, the defects would have been discovered earlier. In particular, it alleges that the peel tests at the Mill were done improperly because they were conducted only at the ends of the pipes. However, the GVWD has not adduced any expert evidence that Mr. Ihn could or should have observed the deficiencies while witnessing the peel tests in Korea. The number of pipes to be peel tested was limited to one in five by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Although there was evidence in British Columbia that a number of pipes that were peel tested displayed cohesive failures, Mr. Byrnes' evidence was that when he examined a number of pipes that had not been stripped both visually and by tapping the surface in an effort to locate voids, and he was unable to detect any voids. This is consistent with the GVWD's initial inspections of the pipe. When Mr. Meldrum viewed the pipes in April 2006, he commented that they looked good, and when Mr. Kostachuk tested pipes in May 2006, he found the results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referred to earlier, 13 of the 15 pipes that were peel tested in Korea passed the peel tests in British Columbia. The evidence of Mr. Stott was that shipping damage could explain the minor difference between peel tests in Korea and Canada. As stated earlier, Mr. Stott testified that to properly conclude that the results in Korea were inaccurate, peel tests conducted in Canada should have been done on the same pipes at a location adjacent to the tests conducted in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well, the GVWD did not adduce any expert evidence that any of the reporting complaints the GVWD made against Moody, i.e. that the inspector failed to take notes properly and to report properly, should have resulted in Moody identifying the latent defects caused by the GVWD's specification. I note that Moody sent daily and weekly reports to the GVWD during the course of the project, and no concern was raised by the GVWD with regard to the reporting that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GVWD points to the fact that the holiday tests were not done in accordance with the AWWA standard. However, the evidence is that the holiday tests were done in accordance with the MIPs which state that the holiday test is to be conducted at 10,000v. Mr. Ihn reported that this was complied with. Regardless, there is no evidence that a holiday test would have detected the coating defects, and there were no holiday test failures in Canada that raised concerns about the holiday tests performed at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noted earlier, the GVWD did not adduce any expert evidence to demonstrate that Mr. Ihn failed to exercise the skill, care or diligence expected of an ordinary inspection professional. Accordingly, I am of the view that the GVWD has failed to establish that Mr. Ihn failed to meet the standard of care required from an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well, the GVWD has failed to establish that Mr. Ihn should have identified the latent defects caused by the GVWD's specification during the inspections he performed at the Mill. As a result, I have concluded that the GVWD has not established that Moody has any liability for the deficiencies for failing to provide adequate inspection services during the manufacture of the pipes.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GVWD act unreasonably in mitigating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Having found that the defects in the pipe were caused by the GVWD's specification, it is unnecessary in my view to determine whether the GVWD acted unreasonably in mitigating the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the defects in the pipes were caused by the GVWD's specification, is NAP entitled to judgment on its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NAP takes the position that it is entitled to be paid for the invoices it rendered to the GVWD. Mr. Meldrum on behalf of the GVWD admits that NAP delivered the pipes to the GVWD for which NAP was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NAP originally issued two invoices on July 11, 2006, payable within 30 days, to the GVWD for the pipes and other miscellaneous fittings. Mr. Meldrum testified that his calculations of the amount owing to NAP for the pipes and fittings supplied were actually higher than NAP's figures in its invoices because Mr. Meldrum's figures were based on actual measurements that he made of the pipes received. He calculated the amount owing as follows: $3,172,741.87 plus $222,091.93 PST and $222,091.93 GST for a total of $3,616,925.73. Mr. Ritchie, on behalf of NAP, agreed that the GVWD's calculations were more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Accordingly, the unrefuted evidence is that the GVWD is liable to NAP for the sum of $3,616,925.73 for the pipes and fittings supplied. The GVWD's payment of $244,274.51 made August 11, 2009, must be deducted from this figure resulting in a total amount owing by the GVWD to NAP of $3,372,651.22.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As well, NAP is entitled to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from August 10, 2006, 30 days after the invoice dates of July 11, 2006, plus 30 days, up to and including the date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NAP is also seeking the recovery of its costs for the work associated with the Gummow Procedure. NAP says that the Gummow Procedure Invoice is payable by the GVWD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GVWD demanded that NAP undertake the Gummow Procedure remedial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GVWD instructed NAP that if it were to implement the Gummow Procedure, the GVWD would be satisfied it would result in a pipe that would suit its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NAP performed the Gummow Procedure work under protest, and with a disclosed unit rate of $6.50 per square foot in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GVWD obtained no alternate pricing at the time and provided no evidence at trial, to the effect that NAP's rate was unreasonable;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remedial work, if necessary at all, was ultimately caused by the GVWD's seal coat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Having concluded that the GVWD's direction to remediate using the Gummow Procedure was to correct deficiencies caused by the GVWD's specification, I am of the view that NAP is entitled to recover its costs of $40,893.57 for performing the Gummow Procedure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NAP is also seeking an order that it is entitled to be paid for two invoices it was not paid for under the mitigation agreement. The GVWD tendered no evidence to refute NAP's claim that it has not been paid for two mitigation agreement invoices in the amount of $77,532.19. Accordingly, NAP is entitled to be paid that amount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Finally, NAP seeks to be paid for its invoices for storage charges. The Supply Agreement provided for storage rates that would apply after the Contractor stored the pipe at its expense for up to four weeks free of charge. The GVWD does not dispute that the Supply Agreement provides that the NAP would be paid for storage after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first shipment of 43" and 60" pipes arrived in British Columbia on or about April 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 May 26, 2006, Mr. Ritchie notified Mr. Meldrum that the four weeks of free storage had expired, and that NAP was initiating pipe storage charges. Mr. Ritchie testified that he initiated the storage charges four weeks after the date in the Supply Agreement for the scheduled arrival of the first shipment of pipes, namely four weeks after April 20, 2006, being May 18, 2006, even though the pipes actually started arriving on or about April 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Meldrum agreed that the timing and commencement of storage charges all seemed in order to him. On May 26, 2006, Mr. Meldrum advised NAP that the GVWD was unable to take delivery of the pipes but expected to be able to take delivery of 40% of the pipes in another four weeks, and the balance over time. On July 11, 2006, Mr. Meldrum notified NAP that from that date onward the GVWD would not be liable for storage charges for any pipe found to be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It is apparent from the communications that the GVWD considers itself liable for charges under the Supply Agreement for storage incurred from May 18, 2006, until July 10, 2006. However, the GVWD admits that it has not paid any storage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Having found that the deficiencies in the pipes were caused by the GVWD's specification, it is my view that the GVWD is liable to NAP for storage charges set out in the invoices in the amount of $408,780.03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Mr. Ritchie's evidence is that he calculated the storage invoices using the storage rates set out in the Supply Agreement. The GVWD tendered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GVWD's claim against the defendants is dismissed. NAP is entitled to judgment on its counterclaim in the amount of $3,899,857.01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well,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Greengen Holdings Ltd. v. British Columbia (Ministry of Forests, Lands and Natural Resource Operations), [2017] B.C.J. No. 1471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DeWitt-Van Oosten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S162484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1471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C.E.L.R. (4th)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281 A.C.W.S. (3d) 452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2045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Greengen Holdings Ltd., also known as Greengen Holdings Inc., Respondent/Plaintiff, and Her Majesty the Queen in Right of The Province of British Columbia (Ministry of Forests, Lands and Natural Resource Operations; Regional Water Manager; Ministry of Environment), Chief Bill Williams and Squamish Nation, Applicants/Defendants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Aboriginal Law — Aboriginal lands — Practice and procedure — Limitation periods — Application by First Nation to strike or dismiss plaintiff's notice of civil claim allowed — Plaintiff commenced action in 2016 against First Nation for delaying consultation process and failing to engage meaningfully in development of run-of-river power project — Action against First Nation was discovered not later than August 2009 — Action against First Nation was statute-barred — Limitation Act, ss. 8, 30(1)(a), 30(1)(b), 30(3) — Supreme Court Civil Rules, Rules 9-5, 9-5(1), 9-5(1)(d), 9-6, 9-6(5)(a), 14-1(3), 14-1(9) — Water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Disposition without trial — Stay of action — Another proceeding pending — Application by British Columbia to strike or dismiss plaintiff's notice of civil claim stayed — Plaintiff filed a notice of civil claim for damages against British Columbia for misfeasance in public office in relation to run-of-river power project — Plaintiff was denied land tenure and water licence — Appeal of denial of water licence was dismissed by Environmental Appeal Board — Plaintiff sought judicial review of decision — Action against British Columbia was collateral attack on Board's decision — Action stayed until determination of judicial review proceedings — Supreme Court Civil Rules, Rules 9-5, 9-5(1), 9-6, 22-7, 22-7(2), 22-7(2)(a), 22-7(2)(b) — Water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Limitation of actions — Time — Accrual of cause of action — Expiry of limitation periods — Effect of — Application by First Nation to strike or dismiss plaintiff's notice of civil claim allowed — Application by British Columbia (B.C.) to strike or dismiss plaintiff's notice of civil claim stayed — Plaintiff commenced action in 2016 against First Nation and B.C. related to run-of-river power project — Action against First Nation was discovered by 2009 and was statute-barred — Action against B.C. was collateral attack on decision of Environmental Appeal Board that was under judicial review — Action against B.C. was stayed pending determination of judicial review proceedings — Assessing merits of B.C.'s limitation defence was best left for trial — Limitation Act, ss. 8, 30(1)(a), 30(1)(b), 30(3) — Supreme Court Civil Rules, Rules 9-5, 9-5(1), 9-5(1)(d), 9-6, 9-6(5)(a), 14-1(3), 14-1(9), 22-7, 22-7(2), 22-7(2)(a), 22-7(2)(b) — Water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6"/>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Province of British Columbia (B.C.) and Squamish First Nation (SFN), to strike or dismiss the notice of civil claim of the plaintiff, Greengen Holdings Ltd. (Greengen). Greengen was a private hydro-developer. Greengen filed a notice of civil claim for damages against B.C. for misfeasance in public office and against SFN for delaying the consultation process and for failing to engage meaningfully in the development of a run-of-river power project at Fries Creek, near Squamish, which was proposed between 2003 and 2007. Greengen submitted applications for Crown land tenure under the Land Act and a water licence under the Water Act to develop the project. Both were denied. Greengen did not seek judicial review of the land tenure decision pursuant to the Land Act but appealed the water licence denial asserting that the decision maker relied on incorrect, misleading or unsubstantiated claims by SFN with respect to the existence and importance of a cultural site used for bathing. Greengen's appeal of the water licence decision was held in abeyance for five years at Greengen's request. The Environmental Appeal Board (EAB) dismissed Greengen's appeal for want of jurisdiction arising out of a preliminary objection raised by the Crown and supported by SFN. Greengen's application for judicial review of the EAB decision had not been heard. SFN said that during its consultation on the Fries Creek project, it owed no duty to Greengen to protect or accommodate the latter's economic interests, or otherwise. The only duty owed during the process was a fiduciary duty owed by the Crown to consult with SFN. SFN also claimed that Greengen's action was filed out of time. B.C. argued that the civil claim, in its original form, was improperly commenced by a non-existent entity, the claim failed to plead material facts that connected the Fries Creek project and its impugned application process to the current named plaintiff, and that the postponement of the limitation period was not pleaded.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3"/>
            <w:bookmarkEnd w:id="114"/>
            <w:r>
              <w:rPr>
                <w:rFonts w:ascii="arial" w:eastAsia="arial" w:hAnsi="arial" w:cs="arial"/>
                <w:color w:val="000000"/>
                <w:sz w:val="20"/>
                <w:lang w:val="en-US" w:eastAsia="en-US" w:bidi="ar-SA"/>
              </w:rPr>
              <w:t>HELD: Application by SFN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B.C. stayed. The same allegations of Greengen's appeal from the decision of the EAB formed the basis of the notice of civil claim against SFN. At the time of its appeal, Greengen saw its capacity to advance the allegation via an administrative proceeding and also discovered its cause of action against SFN. The action against SFN was discovered no later than August 2009. The notice of civil claim against SFN was not filed until March 2016. The notice of civil claim against SFN was statute-barred. SFN was entitled to costs of the action. Greengen's action against B.C. was a collateral attack on the proceedings before the EAB and should not be allowed to proceed. Rather than strike the claim in its entirety, it was appropriate to stay the civil action until completion of the judicial review proceeding. The tort of misfeasance in public office alleged against B.C. was grounded in a complex set of facts that was far more nuanced than the claim against SFN. The interaction between Greengen and B.C. with respect to the proposed power project spanned approximately five years before the water licence and land tenure denials were issued. It was apparent from the record that there was a considerable amount of communication between the parties. Assessing the merits of B.C.'s limitation defence was best left for the trial, should Greengen proceed with the trial after the resolution of the judicial review petition. B.C. was entitled to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3"/>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Standards Act,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Act, </w:t>
      </w:r>
      <w:r>
        <w:rPr>
          <w:rFonts w:ascii="arial" w:eastAsia="arial" w:hAnsi="arial" w:cs="arial"/>
          <w:i/>
          <w:color w:val="000000"/>
          <w:sz w:val="20"/>
          <w:lang w:val="en-US" w:eastAsia="en-US" w:bidi="ar-SA"/>
        </w:rPr>
        <w:t>R.S.B.C. 1996, c. 245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462" w:history="1">
        <w:r>
          <w:rPr>
            <w:rFonts w:ascii="arial" w:eastAsia="arial" w:hAnsi="arial" w:cs="arial"/>
            <w:i/>
            <w:color w:val="0077CC"/>
            <w:sz w:val="20"/>
            <w:u w:val="single"/>
            <w:shd w:val="clear" w:color="auto" w:fill="FFFFFF"/>
            <w:lang w:val="en-US" w:eastAsia="en-US" w:bidi="ar-SA"/>
          </w:rPr>
          <w:t>S.B.C. 2012, c. 13, s. 8</w:t>
        </w:r>
      </w:hyperlink>
      <w:r>
        <w:rPr>
          <w:rFonts w:ascii="arial" w:eastAsia="arial" w:hAnsi="arial" w:cs="arial"/>
          <w:color w:val="000000"/>
          <w:sz w:val="20"/>
          <w:lang w:val="en-US" w:eastAsia="en-US" w:bidi="ar-SA"/>
        </w:rPr>
        <w:t>, s. 30(1)(a), s. 30(1) (b), s.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6-1</w:t>
      </w:r>
      <w:r>
        <w:rPr>
          <w:rFonts w:ascii="arial" w:eastAsia="arial" w:hAnsi="arial" w:cs="arial"/>
          <w:color w:val="000000"/>
          <w:sz w:val="20"/>
          <w:lang w:val="en-US" w:eastAsia="en-US" w:bidi="ar-SA"/>
        </w:rPr>
        <w:t>(1)(a), Rule 9-5, Rule 9-5(1), Rule 9-5(1)(d), Rule 9-6, Rule 9-6(5) (a), Rule 14-1(3), Rule 14-1(9), Rule 22-7, Rule 22-7(2), Rule 22-7(2)(b), Rule 22-7(2)(d)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Act,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Arden M. Beddoes, Allison Render.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Bill Wagner, Meghan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Chief Bill Williams and Squamish Nation: Gregory J. McDade, Q.C., James Arbeau.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11" style="position:absolute;z-index:2518292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An amended decision was corrected at para. 151 on July 26, 2017. The changes were not indicated. This document contains the amended text.]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Application to Build Independent Power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Land Use Agreement with SN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(Draft) Denial of Application for Crown Land Tenure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(Draft) Denial of Independent Power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Formal Decision on Crown Land Tenure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Formal Decision on Water Licence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Formal Decision on Independent Power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Appeal from Denial of Water Licence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Applications Made by Greengen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Petition for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 Cancellation of Energy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LEGAL PRINCIPLES AND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Application Brought by SN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Dismissal on Grounds the Claim is Out of Time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Advanced Costs and Security for Costs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Application Brought by the Province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Claim for Non-compliance with the Rules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Claim as an Abuse of Process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Dismissal on Grounds the Claim is Out of Time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Security of Costs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DeWITT-VAN OOSTEN J."/>
            <w:bookmarkEnd w:id="118"/>
            <w:r>
              <w:rPr>
                <w:rFonts w:ascii="arial" w:eastAsia="arial" w:hAnsi="arial" w:cs="arial"/>
                <w:b/>
                <w:color w:val="000000"/>
                <w:sz w:val="30"/>
                <w:lang w:val="en-US" w:eastAsia="en-US" w:bidi="ar-SA"/>
              </w:rPr>
              <w:t>DeWITT-VAN OOSTEN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February 2005, Pacific Greengen Power ("Greengen") applied to the British Columbia government for Crown land tenure and a water licence to support a proposed run-of-river hydropower project at Fries Creek, near the District of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was made with the intention of selling "green power" to BC Hydro through an electricity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Fries Creek is within the traditional territory of Squamish Nation and flows into the Squamish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Post-application, Greengen understood that land tenure and a water licence would likely be granted. However, in August 2009, it was advised that both applications were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Squamish Nation and Chief Bill Williams (collectively "SN") opposed the hydropower project. Fries Creek is subject to a 2007 land use agreement between SN and the provincial government. Under this agreement, Fries Creek is recognized as a cultural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Greengen challenged the denial of a water licence through administrative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September 2009, the plaintiff filed an appeal with the province's Environmental Appeal Board. At the request of Greengen, the appeal was held in abeyance for over five years to secure SN's agreement to the Fries Creek project. Greengen's attempt at negotiations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2015, the Environmental Appeal Board dismissed the appeal for want of jurisdiction arising out a preliminary objection raised on behalf of the provincial government. The objection was supported by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then, Greengen has applied for judicial review of the Appeal Board's determination. The petition is currently before this Court. No hearing date has been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March 2016, Greengen filed a notice of civil claim seeking damages against SN and Her Majesty the Queen in Right of British Columbia (Ministry of Forests, Lands and Natural Resource Operations; Regional Water Manager; and the Ministry of Environment)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civil action is grounded in the denial of land tenure and a water licence. Greengen alleges economic interference by SN and misfeasance in a public office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SN and the Province have independently brought applications to dismiss or strike the notice of civil claim, in whole or in part. These applications were heard in Chambers from June 21-23, 2017. Judgment was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reasons that follow, I have determined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as against SN was filed out of time, is statute-barred and must be dismissed;</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as against the Province is stayed pending completion of the judicial review proceeding arising out of the petition;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SN and the Province are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its application, SN seeks: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judgment under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Reg. 168/2009 (the "Rules") on grounds that Greengen brought its notice of civil claim out of time;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for interim advance costs;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security of costs;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successful, SN applies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Province applies for:</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orders under Rules 22-7 striking the notice of civil claim on grounds of non-compliance with the Rules;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under Rule 9-5 striking the claim for abuse of process;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summary judgment under Rule 9-6 on grounds that Greengen brought its claim out of time;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claim against the Province is allowed to proceed, security for costs;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Province is successful on its application, costs against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Joint Application Record consists of two large volumes of material. In addition, the parties filed comprehensive outlines of their argument, condensed briefs and/or written submissions that highlight specific portions of the Application Record that they consider to be of particular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For the purpose of these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I do not consider it necessary to summarize the entirety of the factual background. Rather, I will set out what I view as the salient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To the extent that particular pieces of evidence are relied upon in reaching my conclusions, they will be referenced in the body of the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under the heading "Legal Principles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Application to Build Independent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a lengthy investigative process between 2003 and 2005, Greengen selected several sites in British Columbia for the potential development of small run-of-river hydropower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Two of these sites were of particular interest to the plaintiff, including Fries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February 2005, Greengen applied for Crown land tenure and a water licence for the Fries Creek location. These applications were made to the Land and Water British Columbia Inc. (a corporation established by the provincial government). Land tenure and a water licence were necessary pre-requisites to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application for land tenure was made under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245</w:t>
      </w:r>
      <w:r>
        <w:rPr>
          <w:rFonts w:ascii="arial" w:eastAsia="arial" w:hAnsi="arial" w:cs="arial"/>
          <w:color w:val="000000"/>
          <w:sz w:val="20"/>
          <w:lang w:val="en-US" w:eastAsia="en-US" w:bidi="ar-SA"/>
        </w:rPr>
        <w:t xml:space="preserve"> and the application for a water licence was made under the then-named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awaiting a decision, Greengen worked on numerous aspects of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instance, in July 2006 Greengen was awarded an Energy Purchase Agreement by BC Hydro, specific to the Fries Creek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part of its post-application work, Greengen also engaged archeological consultants to provide an Archaeological Overview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Assessment was completed in December 2006. Among other things, it determined that: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review of a number of both unpublished and published reports relating to past archeological investigations in the Squamish area, as well as a review of standard ethnographic accounts relating to traditional First nations land-use and occupation within the study area, failed to find any specific reference to Fries Creek or any other part of the proposed hydro electric project locale";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review ... indicate[s] that this area was not intensively utilized by First Nations people in the past";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Fries Creek hydro generation project and associated developments will not have a major impact on the valley landscape since the construction of the required facilities will cause only minimal ground disturbance to a few areas of direct project impact ... Overall construction impacts will be minor and the proposed development sites - with the exception of the powerhouse - will be situated in areas of steep and rugged terrain. Such areas would not be conducive to the establishment of occupation sites (such as camps or villages) or have any potential for archaeological evidence or other First Nations activities from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2007, Greengen completed a development plan for the Fries Creek proposal and submitted it to the provincial government for consideration. This plan covered all material aspects of the project's design and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Land Use Agreement with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provincial government and SN entered into a land use agreement on July 26, 2007 ("Agreement on Land Use Planning Between the Squamish First Nation and the Province of British Columbia as represented by the Minister of Agriculture and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Under this agreement, the parties agreed to protect the </w:t>
      </w:r>
      <w:r>
        <w:rPr>
          <w:rFonts w:ascii="arial" w:eastAsia="arial" w:hAnsi="arial" w:cs="arial"/>
          <w:color w:val="000000"/>
          <w:sz w:val="20"/>
          <w:u w:val="single"/>
          <w:lang w:val="en-US" w:eastAsia="en-US" w:bidi="ar-SA"/>
        </w:rPr>
        <w:t>K</w:t>
      </w:r>
      <w:r>
        <w:rPr>
          <w:rFonts w:ascii="arial" w:eastAsia="arial" w:hAnsi="arial" w:cs="arial"/>
          <w:color w:val="000000"/>
          <w:sz w:val="20"/>
          <w:lang w:val="en-US" w:eastAsia="en-US" w:bidi="ar-SA"/>
        </w:rPr>
        <w:t>wé</w:t>
      </w:r>
      <w:r>
        <w:rPr>
          <w:rFonts w:ascii="arial" w:eastAsia="arial" w:hAnsi="arial" w:cs="arial"/>
          <w:color w:val="000000"/>
          <w:sz w:val="20"/>
          <w:u w:val="single"/>
          <w:lang w:val="en-US" w:eastAsia="en-US" w:bidi="ar-SA"/>
        </w:rPr>
        <w:t>k</w:t>
      </w:r>
      <w:r>
        <w:rPr>
          <w:rFonts w:ascii="arial" w:eastAsia="arial" w:hAnsi="arial" w:cs="arial"/>
          <w:color w:val="000000"/>
          <w:sz w:val="20"/>
          <w:lang w:val="en-US" w:eastAsia="en-US" w:bidi="ar-SA"/>
        </w:rPr>
        <w:t>waye</w:t>
      </w:r>
      <w:r>
        <w:rPr>
          <w:rFonts w:ascii="arial" w:eastAsia="arial" w:hAnsi="arial" w:cs="arial"/>
          <w:color w:val="000000"/>
          <w:sz w:val="20"/>
          <w:u w:val="single"/>
          <w:lang w:val="en-US" w:eastAsia="en-US" w:bidi="ar-SA"/>
        </w:rPr>
        <w:t>x</w:t>
      </w:r>
      <w:r>
        <w:rPr>
          <w:rFonts w:ascii="arial" w:eastAsia="arial" w:hAnsi="arial" w:cs="arial"/>
          <w:color w:val="000000"/>
          <w:sz w:val="20"/>
          <w:lang w:val="en-US" w:eastAsia="en-US" w:bidi="ar-SA"/>
        </w:rPr>
        <w:t xml:space="preserve"> Kwelh ynexw ta S</w:t>
      </w:r>
      <w:r>
        <w:rPr>
          <w:rFonts w:ascii="arial" w:eastAsia="arial" w:hAnsi="arial" w:cs="arial"/>
          <w:color w:val="000000"/>
          <w:sz w:val="20"/>
          <w:u w:val="single"/>
          <w:lang w:val="en-US" w:eastAsia="en-US" w:bidi="ar-SA"/>
        </w:rPr>
        <w:t>k</w:t>
      </w:r>
      <w:r>
        <w:rPr>
          <w:rFonts w:ascii="arial" w:eastAsia="arial" w:hAnsi="arial" w:cs="arial"/>
          <w:color w:val="000000"/>
          <w:sz w:val="20"/>
          <w:lang w:val="en-US" w:eastAsia="en-US" w:bidi="ar-SA"/>
        </w:rPr>
        <w:t>w</w:t>
      </w:r>
      <w:r>
        <w:rPr>
          <w:rFonts w:ascii="arial" w:eastAsia="arial" w:hAnsi="arial" w:cs="arial"/>
          <w:color w:val="000000"/>
          <w:sz w:val="20"/>
          <w:u w:val="single"/>
          <w:lang w:val="en-US" w:eastAsia="en-US" w:bidi="ar-SA"/>
        </w:rPr>
        <w:t>x</w:t>
      </w:r>
      <w:r>
        <w:rPr>
          <w:rFonts w:ascii="arial" w:eastAsia="arial" w:hAnsi="arial" w:cs="arial"/>
          <w:color w:val="000000"/>
          <w:sz w:val="20"/>
          <w:lang w:val="en-US" w:eastAsia="en-US" w:bidi="ar-SA"/>
        </w:rPr>
        <w:t>wú7mesh Temixw (Squamish Nations' Wild Spirit Places). This includes 22 cultural sites that are specified in the land use agreement and require "protective measures". Fries Creek is listed as one of these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Among other things, the land use agreement obliges the provincial government to ensure that "no new logging or Land Act tenures" are placed over SN's cultural sites, other than in accordance with specific conditions set out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conditions include (but are not limited to):</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new Crown land tenures will be allocated within the cultural sites; and,</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new applications for Land Act dispositions arise in areas adjacent to cultural sites, the provincial government and the applicants will consult with SN to discuss and assess potential impacts of the application on the cultural values of the sites in order to avoid any negative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(Draft) Denial of Application for Crown Land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9, 2008, British Columbia's Integrated Land Management Bureau (the "ILMB") prepared a draft letter to Greengen denying its application for Crown land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letter was not sent to Greengen at the material time, but obtained later by the plaintiff through a disclosure request made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Among other things, the draft letter advised Greengen that under the land use agreement with SN, the provincial government "committed to implement protective measures and take all reasonable steps to ensure the protection" of 22 cultural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the letter, the ILMB determined there was "no viable access" to the land sought by Greengen for use with its proposed power project without "impacting" two of these cultural sites - Monmouth Creek and Fries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letter also stated that the ILMB had "concerns around the impact of any site clearing on the surrounding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(Draft) Denial of Independent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December 16, 2008, the ILMB prepared a second draft letter to Greengen, advising that the proposed project at Fries Creek was not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letter was not sent to Greengen at the material time, but, as with the December 9 draft, it was later obtained by Greengen through a disclosure request made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draft letter explained that in assessing Greengen's application for the power project, the ILMB actively consulted with SN on the impact of the proposed project and SN "repeatedly, and consistently, opposed the project and stated that this project would be contrary" to its land use agreement with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the letter, SN expressed concern that water would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diverted from Fries Creek (to a penstock), but then was not returned to Fries Creek. Fries Creek enters the Squamish River via the Fries Creek Cultural Site. The Squamish Frist Nation consistently stated that Fries Creek was used for bathing purposes. Furthermore, they stated that the reduced flow, and the existence of an industrial project upstream, impacted the sacredness of the river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ILMB wrote that if Greengen's project was allowed to proceed at Fries Creek, there was "significant risk" the provincial government would be in breach of the land use agreement with SN. This was so "even if reasonable measures were taken to minimize the effects". The proposed project was in "very close proximity" to designated cultural sites at Monmouth Creek and Fries Creek. From the perspective of the ILMB, it was "easy to see how any construction would impact adjacent areas including the cultural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draft letter acknowledged that the ILMB would have liked to "have had more detailed information from the Squamish First Nation around their use of Fries Creek within and outside of the cultural site". However, notwithstanding this lack of information, the ILMB was satisfied that the SN was "passionate about the spiritual value of the area to them" and they "were extremely serious in their statements around the sanctity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Formal Decision on Crown Land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17, 2009, Greengen received a formal decision on its application for Crown land tenure. Alex Drysdale, a Service Centre Manager with the ILMB, penned the decision. Mr. Drysdale has since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land use agreement with SN was cited as an "important consideration" in disallowing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permanent diversion of water from Fries Creek is integral to the Project. In my view this diversion and therefore the tenuring of the subject land for the purpose of the Project would have implications on the spiritual and cultural values associated with the adjacent cultural sites established by the [land use agreement] and in particular the Fries Creek Cultural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Drysdale stated the following about SN's opposition to the proposed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Squamish Nation have asserted that the Project is in the heart of their traditional territory and that permanently removing water from Fries Creek will irreparably impact and harm the creek's pristine and spiritual nature. The Squamish Nation has indicated that Fries Creek is an important site for spiritual bathing (</w:t>
      </w:r>
      <w:r>
        <w:rPr>
          <w:rFonts w:ascii="arial" w:eastAsia="arial" w:hAnsi="arial" w:cs="arial"/>
          <w:i/>
          <w:color w:val="000000"/>
          <w:sz w:val="20"/>
          <w:lang w:val="en-US" w:eastAsia="en-US" w:bidi="ar-SA"/>
        </w:rPr>
        <w:t>Shukwem</w:t>
      </w:r>
      <w:r>
        <w:rPr>
          <w:rFonts w:ascii="arial" w:eastAsia="arial" w:hAnsi="arial" w:cs="arial"/>
          <w:color w:val="000000"/>
          <w:sz w:val="20"/>
          <w:lang w:val="en-US" w:eastAsia="en-US" w:bidi="ar-SA"/>
        </w:rPr>
        <w:t xml:space="preserve">), that people of all ages engage in this practice year round, and that it is considered very private. The spiritual and pristine nature of the creek is critical for </w:t>
      </w:r>
      <w:r>
        <w:rPr>
          <w:rFonts w:ascii="arial" w:eastAsia="arial" w:hAnsi="arial" w:cs="arial"/>
          <w:i/>
          <w:color w:val="000000"/>
          <w:sz w:val="20"/>
          <w:lang w:val="en-US" w:eastAsia="en-US" w:bidi="ar-SA"/>
        </w:rPr>
        <w:t>Shukwem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fundamental conflict between the Project which requires a diversion of water out of Fries Creek and the maintenance of natural and unaltered flows which I accept are integral to the cultural and spiritual values that the Fries Creek Cultural Site holds for the Squamish Nation. There are no options that avoid the diversion of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assessment is that the Squamish Nation has presented a strong claim of aboriginal interest in Fries Creek, and that removing water from Fries Creek will have a significant negative impact on its spiritual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statutory right of review or appeal from a decision denying Crown land tenure. Greengen did not seek judicial review of Mr. Drysdale's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Formal Decision on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August 18, 2009, Greengen received a formal decision on its application for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Julia Berardinucci penned this decision. At the time, she was a Regional Water Manager with the Ministry of Environment, Water Stewardship Division, Water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Berardinucci stated her "conclusions" as follows: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is inconsistent with the Land Use Agreement between the Province and the SFN;</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hydro development project would adversely impact on SFN's aboriginal rights related to the cultural site and, due to their nature, impacts to those interests could not be adequately mitigated or accommodated;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not obtained permits or consent necessary to secure access to the proposed site for the hydro development project;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do not hold an interest in land to which your water licence application could be made appurtenant. Therefore, you do not qualify to hold a licence pursuant to section 7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Formal Decision on Independent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August 24, 2009, the provincial government issued formal "Reasons for Decision" on Greengen's power project. The project was not approved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Proposed project involves the permanent diversion of water from Fries Creek that will have a negative impact on the spiritual values of the creek used by the Squamish Nation. The Land Use Agreement signed by the Province with the Squamish Nation recognizes the significance of the Fries Creek as a Cultural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Appeal from Denial of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September 17, 2009, Greengen filed a notice of appeal with the provincial Environmental Appeal Board, challenging the denial of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SN was given notice of the appeal as an impacted party and, in accordance with the Appeal Board's policy, they were entitled to be heard on the issues raised. SN participated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Numerous grounds of appeal were identified by Greengen, including (but not limited to): the Regional Water Manager "relied on incorrect, misleading or unsubstantiated claims by the Squamish First Nation ... with respect to: the existence and importance of a cultural site used for bathing on Fries Creek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relief sought on the appeal was "Approval of a license to divert water", consistent with Greengen's original application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as well as the development plan that it tendered in support of the proposed project at Fries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Greengen's request, the notice of appeal was held in abeyance until fall 2014 so that Greengen could attempt negotiations with SN, with a view to reaching an agreement that would enable the Fries Creek project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 such agreement was reached and the appeal was set down for hearing in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19, 2015, the Appeal Board dismissed the appeal based on a preliminary objection raised by the Regional Water Manager and supported by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Regional Water Manager argued the Appeal Board had no jurisdiction to grant the relief sought by Greengen. To hold a water licence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an applicant must have land tenure for the proposed project site. As Greengen was denied land tenure at Fries Creek, it did not meet the eligibility requirements for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Appeal Board agreed with the Regional Water Manager's position and concluded that "the appeal must be dismissed for lack of jurisdiction to provide the remedies sought by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dismissal was made "entirely without prejudice to the right of Greengen, should it become an "owner" within the meaning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to make application for a water licence on the same or different grounds as the licence refused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Disclosure Applications Made by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August 2009, shortly after Greengen was informed that its applications were denied, the principal of Greengen, Terry Sonderhoff, applied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for all provincial government records relating to Greengen's application for approval of the Fries Creek project ("FIPPA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These documents were disclosed in stages. A large box of documents was provided to Greengen in March 2010. Further documents were received in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Many of the FIPPA Records were partially or fully redacted. After a review and mediation process, further documents were disclosed in May and July 2011. Some of the FIPPA Records remained heavily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September 2015, within the context of the appeal before the Environmental Appeal Board, Greengen received disclosure of records that were specific to the decision to deny a water licence ("Water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Greengen says that when the Water Records arrived, it was able to see behind some of the redactions that accompanied the FIPPA records and, for the first time, it had access to the fullness of the manner in which its applications for land tenure and a water licence were processed and considered by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Petition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January 18, 2016, Greengen filed a petition seeking judicial review of the decision of the Environmental Appeal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These proceedings remain ongoing. The petition has not been set for hearing. SN is a named party to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Among other things, the petition alleges that the applications for Crown land tenure and a water licence were erroneously denied. The statutory decision-makers are said to have: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erred in granting SN an "impermissible veto" over Greengen's project;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erred in interpreting their respective duties to accommodate in a manner that caused undue hardship to Greengen;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erred in "accepting SFN's assertion that the Project would interfere with its spiritual bathing practices and that no accommodation was possible, despite that SFN failed to substantiate this assertion in any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the petition, Greengen also challenges the Appeal Board's dismissal of its appeal based on the preliminary objection raised by the Regional Water Manager, arguing that the dismissal has "rendered illusory" the right of appeal under the-then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has frustrated the Appeal Board's own administrative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Greengen filed a notice of civil claim against SN and the Province on March 17, 2016, seeking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claim against SN alleges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Greengen claims that SN's assertion of Fries Creek as a place used for spiritual bathing was false; SN knew it was false at the time the assertion was made; and, Greengen alleges that this assertion was made with the intent to cause the provincial government to "alter [its] conduct" on the applications for Crown land tenure and a water licence in a manner that caused damages to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 to Greengen, SN induced the provincial government to refuse Greengen's applications "through fraudulent or alternatively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claim against the Province alleges misfeasance in a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Greengen says that the applications for Crown land tenure and a water licence were denied for "collateral political or otherwise improper reasons having no relation to the merits or legality of the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Moreover, the denials were incorrect in law, invalid, unlawful and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when made, the decision-makers knew that such was the case; and, they knew that denying the applications was likely to cause damages to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 Cancellation of Energy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BC Hydro cancelled its 2006 Energy Purchase Agreement with Greengen in October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 result of the cancellation, Greengen was obliged to forfeit a $300,000 performance bond. To obtain another Energy Purchase Agreement with BC Hydro specific to Fries Creek, Greengen would have to apply under a new process that it says is slower and more complicated than the one it was subject to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LEGAL PRINCIPLES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Application Brought by SN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Summary Dismissal on Grounds the Claim is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Under Rule 9-6(5)(a), if this Court is satisfied that "there is no genuine issue for trial with respect to a claim or defence, [it] must pronounce judgment or dismiss the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Evidence is admissible on an application under this Rule: </w:t>
      </w:r>
      <w:r>
        <w:rPr>
          <w:rFonts w:ascii="arial" w:eastAsia="arial" w:hAnsi="arial" w:cs="arial"/>
          <w:i/>
          <w:color w:val="000000"/>
          <w:sz w:val="20"/>
          <w:lang w:val="en-US" w:eastAsia="en-US" w:bidi="ar-SA"/>
        </w:rPr>
        <w:t>Lotzkar v. Canadian National Railway Company</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2015 BCCA 434</w:t>
        </w:r>
      </w:hyperlink>
      <w:r>
        <w:rPr>
          <w:rFonts w:ascii="arial" w:eastAsia="arial" w:hAnsi="arial" w:cs="arial"/>
          <w:color w:val="000000"/>
          <w:sz w:val="20"/>
          <w:lang w:val="en-US" w:eastAsia="en-US" w:bidi="ar-SA"/>
        </w:rPr>
        <w:t>,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principles governing Rule 9-6 were summarized by Savage J. (as he then was) in </w:t>
      </w:r>
      <w:r>
        <w:rPr>
          <w:rFonts w:ascii="arial" w:eastAsia="arial" w:hAnsi="arial" w:cs="arial"/>
          <w:i/>
          <w:color w:val="000000"/>
          <w:sz w:val="20"/>
          <w:lang w:val="en-US" w:eastAsia="en-US" w:bidi="ar-SA"/>
        </w:rPr>
        <w:t>4 Corners Properties Ltd. v. Boffo Developments (Smithe) Ltd.</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2013 BCSC 1926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summary judgment rule serves an important purpose. In the civil litigation system, it prevents claims or defences that have no chance of success from proceeding to trial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jurisdiction under Rule 9-6 is intended to allow the court to determine on a summary basis whether there is a genuine issue standing between the plaintiff's claim and judgment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 summary judgment motion cannot be defeated by vague references to what may be adduced in the future if the matter is allowed to proceed. The determination made must be based on the pleadings as framed and the evidence before the court, not on suppositions about what might be proven if the claim is allowed to proceed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color w:val="000000"/>
          <w:sz w:val="20"/>
          <w:u w:val="single"/>
          <w:lang w:val="en-US" w:eastAsia="en-US" w:bidi="ar-SA"/>
        </w:rPr>
        <w:t>Where the state of the law is clear, and there is a straightforward answer to the issues that will allow the court to dispose of the claim</w:t>
      </w:r>
      <w:r>
        <w:rPr>
          <w:rFonts w:ascii="arial" w:eastAsia="arial" w:hAnsi="arial" w:cs="arial"/>
          <w:color w:val="000000"/>
          <w:sz w:val="20"/>
          <w:lang w:val="en-US" w:eastAsia="en-US" w:bidi="ar-SA"/>
        </w:rPr>
        <w:t xml:space="preserve"> and thus protect its processes from abuse by unmeritorious claims and defences, then the court may act under the Rule. [Internal references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McGregor v. Holyrood Manor</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2014 BCSC 679</w:t>
        </w:r>
      </w:hyperlink>
      <w:r>
        <w:rPr>
          <w:rFonts w:ascii="arial" w:eastAsia="arial" w:hAnsi="arial" w:cs="arial"/>
          <w:color w:val="000000"/>
          <w:sz w:val="20"/>
          <w:lang w:val="en-US" w:eastAsia="en-US" w:bidi="ar-SA"/>
        </w:rPr>
        <w:t xml:space="preserve">, aff'd </w:t>
      </w:r>
      <w:hyperlink r:id="rId466" w:history="1">
        <w:r>
          <w:rPr>
            <w:rFonts w:ascii="arial" w:eastAsia="arial" w:hAnsi="arial" w:cs="arial"/>
            <w:i/>
            <w:color w:val="0077CC"/>
            <w:sz w:val="20"/>
            <w:u w:val="single"/>
            <w:shd w:val="clear" w:color="auto" w:fill="FFFFFF"/>
            <w:lang w:val="en-US" w:eastAsia="en-US" w:bidi="ar-SA"/>
          </w:rPr>
          <w:t>2015 BCCA 157</w:t>
        </w:r>
      </w:hyperlink>
      <w:r>
        <w:rPr>
          <w:rFonts w:ascii="arial" w:eastAsia="arial" w:hAnsi="arial" w:cs="arial"/>
          <w:color w:val="000000"/>
          <w:sz w:val="20"/>
          <w:lang w:val="en-US" w:eastAsia="en-US" w:bidi="ar-SA"/>
        </w:rPr>
        <w:t>, wherein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Under Rule 9-6(4), an answering party who has filed a defence on the party advancing claims against them may apply for judgment dismissing all or part of a claim in the claiming party's originating pleading. </w:t>
      </w:r>
      <w:r>
        <w:rPr>
          <w:rFonts w:ascii="arial" w:eastAsia="arial" w:hAnsi="arial" w:cs="arial"/>
          <w:color w:val="000000"/>
          <w:sz w:val="20"/>
          <w:u w:val="single"/>
          <w:lang w:val="en-US" w:eastAsia="en-US" w:bidi="ar-SA"/>
        </w:rPr>
        <w:t>If satisfied the pleadings reveal no genuine issue for trial either on a claim or defence</w:t>
      </w:r>
      <w:r>
        <w:rPr>
          <w:rFonts w:ascii="arial" w:eastAsia="arial" w:hAnsi="arial" w:cs="arial"/>
          <w:color w:val="000000"/>
          <w:sz w:val="20"/>
          <w:lang w:val="en-US" w:eastAsia="en-US" w:bidi="ar-SA"/>
        </w:rPr>
        <w:t xml:space="preserve">, the court must pronounce judgment or dismiss the claim accordingly: </w:t>
      </w:r>
      <w:r>
        <w:rPr>
          <w:rFonts w:ascii="arial" w:eastAsia="arial" w:hAnsi="arial" w:cs="arial"/>
          <w:i/>
          <w:color w:val="000000"/>
          <w:sz w:val="20"/>
          <w:lang w:val="en-US" w:eastAsia="en-US" w:bidi="ar-SA"/>
        </w:rPr>
        <w:t>Serup v. School District No. 57</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[1989] B.C.J. No. 353</w:t>
        </w:r>
      </w:hyperlink>
      <w:r>
        <w:rPr>
          <w:rFonts w:ascii="arial" w:eastAsia="arial" w:hAnsi="arial" w:cs="arial"/>
          <w:color w:val="000000"/>
          <w:sz w:val="20"/>
          <w:lang w:val="en-US" w:eastAsia="en-US" w:bidi="ar-SA"/>
        </w:rPr>
        <w:t xml:space="preserve"> (C.A.).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This appeal is from an application for summary judgment. 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 Conversely, it is essential to justice that claims disclosing real issues that may be successful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For this reason, the bar on a motion for summary judgment is high. The defendant who seeks summary dismissal bears the evidentiary burden of showing that there is "no genuine issue of material fact requiring trial" ... The chambers judge may make inferences of fact based on the undisputed facts before the court, as long as the inferences are strongly supported by the facts ... . [Internal references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SN says the test for summary dismissal is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raises various arguments in support of its position. This includes arguments that the lawsuit against SN is "doomed to fail" on its merits because: SN truthfully identified Fries Creek as a cultural site that is used for spiritual purposes; the site is protected by a binding land use agreement with the provincial government and non-approval of Greengen's proposed power project is consistent with the agreement; because Greengen cannot establish a sufficient causal nexus between SN's assertion of Fries Creek as a spiritual bathing site and the decision to deny Crown land tenure and a water licence; and, the tort of interference with economic relations has no application to consultation, accommodation or reconciliation discussions or negotiations that occur between the provincial government and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SN says that during its consultation on the Fries Creek project, SN owed no duty to Greengen to protect or accommodate the latter's economic interests, or otherwise. The only duty owed during this process was a fiduciary duty owed by the Crown to consult with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Finally, SN seeks summary dismissal on grounds that Greengen's action was filed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latter objection is SN's primary argument in support of its application under Rule 9-6(5)(a). In my view, it is dispositive and I need not address the other issues raised in support of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decisions denying Crown land tenure and a water licence were made in August 2009. The notice of civil claim was filed in March 2016, over six and one-half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Greengen and SN agree that under the terms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which came into effect on June 1, 2013, the action brought against SN meets the definition of a "pre-existing claim" within the meaning of ss. 30(1)(a) and (b). It is an action:</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the effective date [of June 1, 2013],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has been commenced before the effective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SN and Greengen also agree, with reference to s. 30(3) of the current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if Greengen "discovered" its claim against SN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June 1, 2013,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prescribes the allowable filing period and Greengen had six years from the date of discovery to file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If Greengen "discovered" its claim against SN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June 1, 2013,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prescribes the allowable filing period and Greengen had two years from the date of discovery to file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Section 30(3) of the current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subsection (2) [which does not apply in this case], </w:t>
      </w:r>
      <w:r>
        <w:rPr>
          <w:rFonts w:ascii="arial" w:eastAsia="arial" w:hAnsi="arial" w:cs="arial"/>
          <w:color w:val="000000"/>
          <w:sz w:val="20"/>
          <w:u w:val="single"/>
          <w:lang w:val="en-US" w:eastAsia="en-US" w:bidi="ar-SA"/>
        </w:rPr>
        <w:t>if a pre-existing claim was discovered before the effective date</w:t>
      </w:r>
      <w:r>
        <w:rPr>
          <w:rFonts w:ascii="arial" w:eastAsia="arial" w:hAnsi="arial" w:cs="arial"/>
          <w:color w:val="000000"/>
          <w:sz w:val="20"/>
          <w:lang w:val="en-US" w:eastAsia="en-US" w:bidi="ar-SA"/>
        </w:rPr>
        <w:t>, the former Act applies to the pre-existing claim as if the right to bring an action occurred at the time of the discovery of the pre-existing claim.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SN and Greengen endorse the following explanation of the transition between the former and current </w:t>
      </w:r>
      <w:r>
        <w:rPr>
          <w:rFonts w:ascii="arial" w:eastAsia="arial" w:hAnsi="arial" w:cs="arial"/>
          <w:i/>
          <w:color w:val="000000"/>
          <w:sz w:val="20"/>
          <w:lang w:val="en-US" w:eastAsia="en-US" w:bidi="ar-SA"/>
        </w:rPr>
        <w:t>Limitation Acts</w:t>
      </w:r>
      <w:r>
        <w:rPr>
          <w:rFonts w:ascii="arial" w:eastAsia="arial" w:hAnsi="arial" w:cs="arial"/>
          <w:color w:val="000000"/>
          <w:sz w:val="20"/>
          <w:lang w:val="en-US" w:eastAsia="en-US" w:bidi="ar-SA"/>
        </w:rPr>
        <w:t xml:space="preserve"> from John G. Dives, Q.C., "New BC Limitation Act: Transition Issues", CLEBC, Paper 21, at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30(3) of the 2012 Act] is an interesting provision. The obvious intent is to apply the old limitation period to claims where the claimant knew prior to the enactment of the new Act that he/she had a claim. At the same time, the trigger date is changed to accord with the new Act. The effect of this is to blend the two statutes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interesting aspect of this subsection is that it does not merely apply the old limitation period when the claim is discovered before the effective date, it imports the entire former Act as it applies to the claim. The effect is to maintain the ultimate limitation periods from the current Act but to have them run from the date of discovery and not when the right to bring the action arose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Mr. Dives' construction of s. 30(3) is consistent with the approach adopted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2015 BCSC 1193</w:t>
        </w:r>
      </w:hyperlink>
      <w:r>
        <w:rPr>
          <w:rFonts w:ascii="arial" w:eastAsia="arial" w:hAnsi="arial" w:cs="arial"/>
          <w:color w:val="000000"/>
          <w:sz w:val="20"/>
          <w:lang w:val="en-US" w:eastAsia="en-US" w:bidi="ar-SA"/>
        </w:rPr>
        <w:t>, wherein Grauer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What the legislature did say, by section 30(3), is that where, as here, a pre-existing claim was discovered before the effective date (June 1, 2013), then the </w:t>
      </w:r>
      <w:r>
        <w:rPr>
          <w:rFonts w:ascii="arial" w:eastAsia="arial" w:hAnsi="arial" w:cs="arial"/>
          <w:color w:val="000000"/>
          <w:sz w:val="20"/>
          <w:u w:val="single"/>
          <w:lang w:val="en-US" w:eastAsia="en-US" w:bidi="ar-SA"/>
        </w:rPr>
        <w:t>former</w:t>
      </w:r>
      <w:r>
        <w:rPr>
          <w:rFonts w:ascii="arial" w:eastAsia="arial" w:hAnsi="arial" w:cs="arial"/>
          <w:color w:val="000000"/>
          <w:sz w:val="20"/>
          <w:lang w:val="en-US" w:eastAsia="en-US" w:bidi="ar-SA"/>
        </w:rPr>
        <w:t xml:space="preserve"> Act applies to that pre-existing claim. It is, in short, as though the former Act had not been repealed in relation to that claim.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content to determine the limitation issue in accordance with the legal framework agreed upon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Under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 claim is discovered on the first day that the claimant knew, or reasonably ought to have known: (a) that injury, loss or damage had occurred; (b) that the injury, loss or damage was caused or contributed to by an act or omission; (c) that the act or omission was that of the person against whom the claim is or may be made; and (4) having regard to the nature of the injury, loss or damage, a court proceeding would be an appropriate means to seek to remedy the injury loss, or damage: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SN argues that when the provincial government released its decisions on land tenure and a water licence in August 2009, Greengen was aware of sufficient facts to initiate a civil action of the nature that it ultimately brought forward in March 2016. As such, Greengen discovered its claim before the effective date of June 1, 2013 and the six-year limitation period under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This period expired on August 19, 2015, at the latest, and Greengen has filed its civil claim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SN, Greengen knew by August 18, 2009 that land tenure and a water licence had been denied; it knew that the denial was based, at least in part, on the identification of Fries Creek as a cultural site under the land use agreement with SN, with a stated spiritual purpose; and, it believed that SN had falsely, wrongfully or disingenuously claimed Fries Creek as a place of spiritual bathing in specific opposition to the proposed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Greengen filed an appeal with the Environmental Appeal Board in September 2009 on this factual foundation. In so doing, the plaintiff demonstrated that it was also in a position to file a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response, Greengen says it did not discover its claim against SN until it received the Water Records in September 2015. This was post-enactment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As such, a two-year limitation period applies and Greengen had until September 2017 to file its notice of civil claim. It filed in March 2016, more than a year before expiry of the prescribed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Greengen says it was not until receipt of the Water Records that it knew SN provided no substantiating evidence to the provincial government that objectively supported its assertion of Fries Creek as a spiritual bathing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particular, Greengen points to an Aboriginal Interest Consideration Report, dated July 24, 2009, that it received as part of the Water Records. This Report was prepared by the provincial Ministry of Environment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SFN have not provided detailed information (e.g., location within the creek, frequency, etc.) regarding their historic or current use of the Creek for their bathing ceremonies.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SFN have also refused to provide additional details to substantiate their cultural uses of Fries Creek, as requested by the [Water Stewardship Division]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submissions before me, counsel for Greengen described the Aboriginal Interest Consideration Report as "critical" in revealing to Greengen that it had a cause of action against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Alternatively, Greengen says it did not discover its claim against SN until March 2010 at the earliest, when it received the first group of FIPPA Records. In these circumstances, a six-year limitation period would apply under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Greengen filed its notice of civil claim within the prescribed time - March 17,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On the Application Record as a whole, I agree with SN that once the decisions on Crown land tenure and a water licence were released in August 2009, the cause of action against SN had been discovered by Greengen within the meaning of s. 8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six-year period under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started to run. In waiting until March 17, 2016 to file its claim against SN, Greengen has brought its action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reaching this conclusion, I have paid close attention to the affidavit of Terry Sonderhoff, the president and owner of Greengen. Mr. Sonderhoff was involved in the development of the proposed Fries Creek project from its inception.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affidavit, its attachments and other material contained in the Application Record details what Mr. Sonderhoff knew about SN's opposition to the Fries Creek proposal when the applications for land tenure and a water licence were denied. This was prior to receipt of the FIPPA Records in 2010 and the Water Records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Before Greengen first made its applications in February 2005, Mr. Sonderhoff met with officials from both the provincial government and SN to discuss the proposed project. According to Mr. Sonderhoff's affidavit, SN indicated during this interaction that they had no concerns about Fries Creek and encouraged him to pursue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However, by April 2007, Mr. Sonderhoff knew SN was no longer supportive of the project and that this lack of support was predicated, at least in part, on an assertion that Fries Creek was used for spiritual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Sonderhoff was personally shown a copy of a letter penned on behalf of SN that was sent to the ILMB. This letter, dated April 17, 2007,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 Referral Letter re IPP Application in Fries Creek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Squamish Nation does not support the proposal or application noted above. At each stage of the consultation process the Squamish Nation has voiced our opposition to this proposal and has provided your office with direction as to this and any proposal that would have such an impact on an area within our traditional territory.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of Fries Creek falls within that traditional territory and we have stated in previous meetings with your department the presence of the Squamish Nation within this territory since time immemorial.</w:t>
      </w:r>
    </w:p>
    <w:p>
      <w:pPr>
        <w:numPr>
          <w:numId w:val="3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well, the area of Fries Creek is designated a Siyamin ta Skwxwú7mesh Cultural Site and has been designated in our Land Use Plan as a protected area.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maps and documentation supplied by the applicant demonstrate the impact and extent that this proposal would have on the traditional territory of the Squamish Nation </w:t>
      </w:r>
      <w:r>
        <w:rPr>
          <w:rFonts w:ascii="arial" w:eastAsia="arial" w:hAnsi="arial" w:cs="arial"/>
          <w:color w:val="000000"/>
          <w:sz w:val="20"/>
          <w:u w:val="single"/>
          <w:lang w:val="en-US" w:eastAsia="en-US" w:bidi="ar-SA"/>
        </w:rPr>
        <w:t>with direct impacts on areas which have been used for fishing, spawning grounds, gathering, and the spiritual needs of the Squamish Nation since time immemorial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since this area falls within the traditional Squamish Nation territory and we have stated its significance to our People we therefore reserve the right to determine land use within this </w:t>
      </w:r>
      <w:r>
        <w:rPr>
          <w:rFonts w:ascii="arial" w:eastAsia="arial" w:hAnsi="arial" w:cs="arial"/>
          <w:color w:val="000000"/>
          <w:sz w:val="20"/>
          <w:u w:val="single"/>
          <w:lang w:val="en-US" w:eastAsia="en-US" w:bidi="ar-SA"/>
        </w:rPr>
        <w:t>sensitive ecological and spiritual area</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January 17, 2008, Mr. Sonderhoff personally attended a meeting with Chief Campbell of SN to discuss the Fries Creek project. In February 2008, Mr. Sonderhoff sent a memorandum to the ILMB which addressed the meeting.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conclusion of our meeting with the SFN, we asked that they send a confirmatory letter to the ILMB outlining the upshot of our meeting (ie. they oppose the Project for environmental, </w:t>
      </w:r>
      <w:r>
        <w:rPr>
          <w:rFonts w:ascii="arial" w:eastAsia="arial" w:hAnsi="arial" w:cs="arial"/>
          <w:color w:val="000000"/>
          <w:sz w:val="20"/>
          <w:u w:val="single"/>
          <w:lang w:val="en-US" w:eastAsia="en-US" w:bidi="ar-SA"/>
        </w:rPr>
        <w:t>cultural and spiritual reasons</w:t>
      </w:r>
      <w:r>
        <w:rPr>
          <w:rFonts w:ascii="arial" w:eastAsia="arial" w:hAnsi="arial" w:cs="arial"/>
          <w:color w:val="000000"/>
          <w:sz w:val="20"/>
          <w:lang w:val="en-US" w:eastAsia="en-US" w:bidi="ar-SA"/>
        </w:rPr>
        <w:t>, no more information or engagement with the Proponent will assist to advance this and they are prepared to litigate if the Crown proceeds)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 the fuller context of this meeting and the main outcomes, from our perspective, are set out below ...</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Land is Spiritual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SFN stated to us that this is an important "</w:t>
      </w:r>
      <w:r>
        <w:rPr>
          <w:rFonts w:ascii="arial" w:eastAsia="arial" w:hAnsi="arial" w:cs="arial"/>
          <w:color w:val="000000"/>
          <w:sz w:val="20"/>
          <w:u w:val="single"/>
          <w:lang w:val="en-US" w:eastAsia="en-US" w:bidi="ar-SA"/>
        </w:rPr>
        <w:t>spiritual" area to the Nation</w:t>
      </w:r>
      <w:r>
        <w:rPr>
          <w:rFonts w:ascii="arial" w:eastAsia="arial" w:hAnsi="arial" w:cs="arial"/>
          <w:color w:val="000000"/>
          <w:sz w:val="20"/>
          <w:lang w:val="en-US" w:eastAsia="en-US" w:bidi="ar-SA"/>
        </w:rPr>
        <w:t xml:space="preserve"> and they are opposed to the Project. This was a decision made by the Council of the Nation "within the last few weeks". </w:t>
      </w:r>
      <w:r>
        <w:rPr>
          <w:rFonts w:ascii="arial" w:eastAsia="arial" w:hAnsi="arial" w:cs="arial"/>
          <w:color w:val="000000"/>
          <w:sz w:val="20"/>
          <w:u w:val="single"/>
          <w:lang w:val="en-US" w:eastAsia="en-US" w:bidi="ar-SA"/>
        </w:rPr>
        <w:t>We explained, and we understand that the ILMB is fully aware of this and has a full record in this regard, that our understanding of spiritual areas was based on the LRMP and the SFN's draft land use plan of 2001, neither of which indicated that this area is of special aboriginal interest or spiritual in nature</w:t>
      </w:r>
      <w:r>
        <w:rPr>
          <w:rFonts w:ascii="arial" w:eastAsia="arial" w:hAnsi="arial" w:cs="arial"/>
          <w:color w:val="000000"/>
          <w:sz w:val="20"/>
          <w:lang w:val="en-US" w:eastAsia="en-US" w:bidi="ar-SA"/>
        </w:rPr>
        <w:t xml:space="preserve">. We pointed out, and the ILMB is also aware of this, </w:t>
      </w:r>
      <w:r>
        <w:rPr>
          <w:rFonts w:ascii="arial" w:eastAsia="arial" w:hAnsi="arial" w:cs="arial"/>
          <w:color w:val="000000"/>
          <w:sz w:val="20"/>
          <w:u w:val="single"/>
          <w:lang w:val="en-US" w:eastAsia="en-US" w:bidi="ar-SA"/>
        </w:rPr>
        <w:t>that this so-called "spiritual" land</w:t>
      </w:r>
      <w:r>
        <w:rPr>
          <w:rFonts w:ascii="arial" w:eastAsia="arial" w:hAnsi="arial" w:cs="arial"/>
          <w:color w:val="000000"/>
          <w:sz w:val="20"/>
          <w:lang w:val="en-US" w:eastAsia="en-US" w:bidi="ar-SA"/>
        </w:rPr>
        <w:t xml:space="preserve"> has been subject to significant industrial/ commercial impact already through, for example, the existence of three major cleared Right-of-Ways cleared for power lines and the Terasen gas line Right-of-Way running through it. The entire area was clear-cut and mainly consists of second growth alder. </w:t>
      </w:r>
      <w:r>
        <w:rPr>
          <w:rFonts w:ascii="arial" w:eastAsia="arial" w:hAnsi="arial" w:cs="arial"/>
          <w:color w:val="000000"/>
          <w:sz w:val="20"/>
          <w:u w:val="single"/>
          <w:lang w:val="en-US" w:eastAsia="en-US" w:bidi="ar-SA"/>
        </w:rPr>
        <w:t>There are roads and clearings throughout the Project area and there are no identified archeological sites</w:t>
      </w:r>
      <w:r>
        <w:rPr>
          <w:rFonts w:ascii="arial" w:eastAsia="arial" w:hAnsi="arial" w:cs="arial"/>
          <w:color w:val="000000"/>
          <w:sz w:val="20"/>
          <w:lang w:val="en-US" w:eastAsia="en-US" w:bidi="ar-SA"/>
        </w:rPr>
        <w:t>. The Ministry of Forests &amp; Range has indicated that a forest tenure could be issued at anytime for a second pass for harvest within 10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we fully appreciate the complexity of the Government-to-Government consultation aspects and related negotiations, I would be shocked at this stage if this Project becomes trapped by a mini-treaty negotiation or a broader agenda about jurisdictional authority over land use planning. </w:t>
      </w:r>
      <w:r>
        <w:rPr>
          <w:rFonts w:ascii="arial" w:eastAsia="arial" w:hAnsi="arial" w:cs="arial"/>
          <w:color w:val="000000"/>
          <w:sz w:val="20"/>
          <w:u w:val="single"/>
          <w:lang w:val="en-US" w:eastAsia="en-US" w:bidi="ar-SA"/>
        </w:rPr>
        <w:t>In our view, the SFN seems to be applying consultation as a means to provide them with a veto -</w:t>
      </w:r>
      <w:r>
        <w:rPr>
          <w:rFonts w:ascii="arial" w:eastAsia="arial" w:hAnsi="arial" w:cs="arial"/>
          <w:color w:val="000000"/>
          <w:sz w:val="20"/>
          <w:lang w:val="en-US" w:eastAsia="en-US" w:bidi="ar-SA"/>
        </w:rPr>
        <w:t xml:space="preserve"> a message, we do not think the Premier of this Province should be inclined to accept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May 30, 2008, Mr. Sonderhoff sent a letter to Joan McIntyre, then a Member of the Legislative Assembly, seeking her assistance in moving his Fries Creek proposal forward. In this letter, Mr. Sonderhoff expressed significant concern over the application process, including the impact of the consultation with SN about Greengen's proposal: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should be a straight-forward administrative decision is now turning into </w:t>
      </w:r>
      <w:r>
        <w:rPr>
          <w:rFonts w:ascii="arial" w:eastAsia="arial" w:hAnsi="arial" w:cs="arial"/>
          <w:color w:val="000000"/>
          <w:sz w:val="20"/>
          <w:u w:val="single"/>
          <w:lang w:val="en-US" w:eastAsia="en-US" w:bidi="ar-SA"/>
        </w:rPr>
        <w:t>a political decision</w:t>
      </w:r>
      <w:r>
        <w:rPr>
          <w:rFonts w:ascii="arial" w:eastAsia="arial" w:hAnsi="arial" w:cs="arial"/>
          <w:color w:val="000000"/>
          <w:sz w:val="20"/>
          <w:lang w:val="en-US" w:eastAsia="en-US" w:bidi="ar-SA"/>
        </w:rPr>
        <w:t xml:space="preserve"> being made without a chance for [Greengen] to correct misinterpretations of [its]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SFN claimed they had objected to the Fries Creek Project from the beginning and would require consultation. I was surprised by the </w:t>
      </w:r>
      <w:r>
        <w:rPr>
          <w:rFonts w:ascii="arial" w:eastAsia="arial" w:hAnsi="arial" w:cs="arial"/>
          <w:color w:val="000000"/>
          <w:sz w:val="20"/>
          <w:u w:val="single"/>
          <w:lang w:val="en-US" w:eastAsia="en-US" w:bidi="ar-SA"/>
        </w:rPr>
        <w:t>blanket denial of support</w:t>
      </w:r>
      <w:r>
        <w:rPr>
          <w:rFonts w:ascii="arial" w:eastAsia="arial" w:hAnsi="arial" w:cs="arial"/>
          <w:color w:val="000000"/>
          <w:sz w:val="20"/>
          <w:lang w:val="en-US" w:eastAsia="en-US" w:bidi="ar-SA"/>
        </w:rPr>
        <w:t>, which was contrary to all discussions I have had with the SFN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do not understand why ILMB has allowed the SFN to effectively halt the regulatory process after the ILMB had satisfied itself that the consultation was complete</w:t>
      </w:r>
      <w:r>
        <w:rPr>
          <w:rFonts w:ascii="arial" w:eastAsia="arial" w:hAnsi="arial" w:cs="arial"/>
          <w:color w:val="000000"/>
          <w:sz w:val="20"/>
          <w:lang w:val="en-US" w:eastAsia="en-US" w:bidi="ar-SA"/>
        </w:rPr>
        <w:t xml:space="preserve">. We are very concerned that such </w:t>
      </w:r>
      <w:r>
        <w:rPr>
          <w:rFonts w:ascii="arial" w:eastAsia="arial" w:hAnsi="arial" w:cs="arial"/>
          <w:color w:val="000000"/>
          <w:sz w:val="20"/>
          <w:u w:val="single"/>
          <w:lang w:val="en-US" w:eastAsia="en-US" w:bidi="ar-SA"/>
        </w:rPr>
        <w:t>arbitrary delays</w:t>
      </w:r>
      <w:r>
        <w:rPr>
          <w:rFonts w:ascii="arial" w:eastAsia="arial" w:hAnsi="arial" w:cs="arial"/>
          <w:color w:val="000000"/>
          <w:sz w:val="20"/>
          <w:lang w:val="en-US" w:eastAsia="en-US" w:bidi="ar-SA"/>
        </w:rPr>
        <w:t xml:space="preserve"> in an already lengthy regulatory process is undermining the principled consideration of the Fries Creek Project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the government agencies that I have been dealing with for the past two years have become inconsistent with their initial positions, have delayed their decision-making and seem to have excluded [Greengen] from what should be a relatively transparent and inclusive regulatory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very concerned that these regulatory bottle-necks will result in </w:t>
      </w:r>
      <w:r>
        <w:rPr>
          <w:rFonts w:ascii="arial" w:eastAsia="arial" w:hAnsi="arial" w:cs="arial"/>
          <w:color w:val="000000"/>
          <w:sz w:val="20"/>
          <w:u w:val="single"/>
          <w:lang w:val="en-US" w:eastAsia="en-US" w:bidi="ar-SA"/>
        </w:rPr>
        <w:t>politically expedient decisions</w:t>
      </w:r>
      <w:r>
        <w:rPr>
          <w:rFonts w:ascii="arial" w:eastAsia="arial" w:hAnsi="arial" w:cs="arial"/>
          <w:color w:val="000000"/>
          <w:sz w:val="20"/>
          <w:lang w:val="en-US" w:eastAsia="en-US" w:bidi="ar-SA"/>
        </w:rPr>
        <w:t xml:space="preserve"> being made without [Greengen's] input and that the regulators are losing sight of the environmental and scientific soundness of the current design of the Fries Creek Project and the significant economic risks [Greengen is] bearing.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June 16, 2008, Mr. Sonderhoff participated in an all-agency meeting which included the ILMB and Alec Drysdale, the person who ultimately denied the application for land tenure. A June 20, 2008 memorandum from Mr. Sonderhoff's legal counsel addressed to the ILMB, summarizes the outcome of the meeting. This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record as to the Project's consultation process up until January 2008 has been provided to the ILMB, including the summary that Mr. Sonderhoff provided to you in his memo dated February 7, 2008. In short, as set out in that memo ... </w:t>
      </w:r>
      <w:r>
        <w:rPr>
          <w:rFonts w:ascii="arial" w:eastAsia="arial" w:hAnsi="arial" w:cs="arial"/>
          <w:color w:val="000000"/>
          <w:sz w:val="20"/>
          <w:u w:val="single"/>
          <w:lang w:val="en-US" w:eastAsia="en-US" w:bidi="ar-SA"/>
        </w:rPr>
        <w:t>the SFN never raised any site-specific aboriginal concerns about the Project (indeed, the opposite is the case) until January 2008, when the SFN advised us in a meeting, for the first time, that they had spiritual concerns and they "did not have to justify their position" regarding the Project</w:t>
      </w:r>
      <w:r>
        <w:rPr>
          <w:rFonts w:ascii="arial" w:eastAsia="arial" w:hAnsi="arial" w:cs="arial"/>
          <w:color w:val="000000"/>
          <w:sz w:val="20"/>
          <w:lang w:val="en-US" w:eastAsia="en-US" w:bidi="ar-SA"/>
        </w:rPr>
        <w:t xml:space="preserve">, which we understand was a view that the SFN conveyed to the ILMB in your subsequent meeting. The ILMB continued to pursue its direct consultation with the SFN through a follow-up letter on January 21, 2008, a meeting on March 20, 2008, and another follow-up letter on April 7, 2008. We understand that the SFN have not responded to the April 7, 2008 letter which was a summation of the March 20, 2008 meeting. </w:t>
      </w:r>
      <w:r>
        <w:rPr>
          <w:rFonts w:ascii="arial" w:eastAsia="arial" w:hAnsi="arial" w:cs="arial"/>
          <w:color w:val="000000"/>
          <w:sz w:val="20"/>
          <w:u w:val="single"/>
          <w:lang w:val="en-US" w:eastAsia="en-US" w:bidi="ar-SA"/>
        </w:rPr>
        <w:t>Our reading of this April 7 letter demonstrates that the SFN have not brought to light any site-specific concerns; rather, it appears that the ILMB has had to respond to recent general opposition to the Project based on general assertions of interests in culturally designated sites</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SFN has been afforded more than ample opportunity to raise concerns regarding the Project. Any further general opposition or concerns by the SFN would result in unreasonable delay in the process for no principled reason</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July 30, 2008, Mr. Sonderhoff was personally told by Alec Drysdale that the ILMB met with SN two days earlier and Chief Bill Williams described Fries Creek as a spiritual bathing site. As a result, SN was of the view that the water in Fries Creek must be kept pristine.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this same date, Mr. Sonderhoff sent an email to the Ministry of Environment, marked "Urgent",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just been debriefed by ILMB on your meeting with first nations.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frankly I am shock to find out that Squamish First Nations claim that they have not been consulted on the issuance of water license, and that they have not received documentation from the government regarding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we have sent SFN all documents including the full development plan and all addendum's.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also find their claim of Bathing wholly disingenuous, especially since they now claim that the amount of water is not the issue it is the fact that it must go over a diversion that makes it not pristine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archeology study we did found no historical use and Rudy Reimer (SFN arch. consultant) was consulted and confirmed that no issues were present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after all this time it now is a "relevant" issue boggles the mind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 November 19, 2008, a lawyer representing Greengen sent an email to various provincial government officials "confirming" the plaintiff's "expectation that the Government via ILMB and the Water Stewardship Branch" would advise Greengen "very soon as to when the [Fries Creek] Project will be permitted". In this email, the lawyer states that Greengen has "patiently relied on the Government to act prudently" in connection with the project, and now found itself in an "untenable position" of having to assume "unacceptable risks due to the leverage the SFN believe they have, which [Greengen saw] as </w:t>
      </w:r>
      <w:r>
        <w:rPr>
          <w:rFonts w:ascii="arial" w:eastAsia="arial" w:hAnsi="arial" w:cs="arial"/>
          <w:color w:val="000000"/>
          <w:sz w:val="20"/>
          <w:u w:val="single"/>
          <w:lang w:val="en-US" w:eastAsia="en-US" w:bidi="ar-SA"/>
        </w:rPr>
        <w:t>political leverage not legal leverage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August 2009, Greengen received notice that its applications for land tenure and a water licence were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notice from Alec Drysdale denying land tenure explicitly advised Mr. Sonderhoff that according to SN, "</w:t>
      </w:r>
      <w:r>
        <w:rPr>
          <w:rFonts w:ascii="arial" w:eastAsia="arial" w:hAnsi="arial" w:cs="arial"/>
          <w:color w:val="000000"/>
          <w:sz w:val="20"/>
          <w:u w:val="single"/>
          <w:lang w:val="en-US" w:eastAsia="en-US" w:bidi="ar-SA"/>
        </w:rPr>
        <w:t>Fries Creek is an important site for spiritual bathing (Shukwem)</w:t>
      </w:r>
      <w:r>
        <w:rPr>
          <w:rFonts w:ascii="arial" w:eastAsia="arial" w:hAnsi="arial" w:cs="arial"/>
          <w:color w:val="000000"/>
          <w:sz w:val="20"/>
          <w:lang w:val="en-US" w:eastAsia="en-US" w:bidi="ar-SA"/>
        </w:rPr>
        <w:t xml:space="preserve">, that people of all ages engage in this practice year round, and that it is considered very private. The spiritual and pristine nature of the creek is critical for </w:t>
      </w:r>
      <w:r>
        <w:rPr>
          <w:rFonts w:ascii="arial" w:eastAsia="arial" w:hAnsi="arial" w:cs="arial"/>
          <w:i/>
          <w:color w:val="000000"/>
          <w:sz w:val="20"/>
          <w:lang w:val="en-US" w:eastAsia="en-US" w:bidi="ar-SA"/>
        </w:rPr>
        <w:t>Shukwem</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notice from Julia Berardinucci denying a water licence confirmed that the SN "has indicated that it is strongly opposed to [Greengen's] application and </w:t>
      </w:r>
      <w:r>
        <w:rPr>
          <w:rFonts w:ascii="arial" w:eastAsia="arial" w:hAnsi="arial" w:cs="arial"/>
          <w:color w:val="000000"/>
          <w:sz w:val="20"/>
          <w:u w:val="single"/>
          <w:lang w:val="en-US" w:eastAsia="en-US" w:bidi="ar-SA"/>
        </w:rPr>
        <w:t>has identified that the diversion would significantly impact the ability of its members to conduct spiritual bathing practices in Fries Creek</w:t>
      </w:r>
      <w:r>
        <w:rPr>
          <w:rFonts w:ascii="arial" w:eastAsia="arial" w:hAnsi="arial" w:cs="arial"/>
          <w:color w:val="000000"/>
          <w:sz w:val="20"/>
          <w:lang w:val="en-US" w:eastAsia="en-US" w:bidi="ar-SA"/>
        </w:rPr>
        <w:t xml:space="preserve"> and negatively impact the SFN's social, ceremonial and cultural use of the Fries Creek Cultural Site".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Based on the totality of this material, I find as a fact that upon receipt of the August 2009 denials of Crown land tenure and a water licence, Greengen knew, or had concluded, that:</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SN claimed Fries Creek as a spiritual bathing site;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one of the bases considered by the provincial government decision-makers in denying the applications for land tenure and a water licence;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SN assertion was contrary to the position taken in Greengen's early consultations with SN, leading into the application process;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also contrary to the results of the 2006 archeological assessment commissioned by Greengen. This study was informed by a SN archive consultant and concluded that Fries Creek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"intensively utilized by First Nations people in the past";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Fries Creek area had previously been subject to significant industrial/commercial impact;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SN took the position it had no obligation to substantiate the spiritual bathing assertion;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application process, SN had not responded to, or provided greater detail to specific requests for substantiation that were made by the ILMB;</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consultation with SN carried forward, the provincial government agencies that Greengen was dealing with became "inconsistent with their initial positions", "delayed their decision-making" and "excluded [Greengen] from what [it thought] should be a relatively transparent and inclusive regulatory process";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 had "effectively halt[ed] the regulatory process" with its claims;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claims consisted of only "blanket" denials of support and general opposition;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disallowing land tenure and a water licence carried economic consequences for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the facts that were known to Greengen by August 18, 2009, and the inferences or conclusions that Greengen had drawn from them, meet the test for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tort of interference with economic relations (or unlawful means) requires a plaintiff to establish the following elements: (1) an unlawful act by the defendant; (2) the act must have been intended to cause injury to the plaintiff; and (3) the act must have actually caused economic loss or related injury: </w:t>
      </w:r>
      <w:r>
        <w:rPr>
          <w:rFonts w:ascii="arial" w:eastAsia="arial" w:hAnsi="arial" w:cs="arial"/>
          <w:i/>
          <w:color w:val="000000"/>
          <w:sz w:val="20"/>
          <w:lang w:val="en-US" w:eastAsia="en-US" w:bidi="ar-SA"/>
        </w:rPr>
        <w:t>A.I. Enterprises v. Bram Enterprises Ltd.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 Enterprises</w:t>
      </w:r>
      <w:r>
        <w:rPr>
          <w:rFonts w:ascii="arial" w:eastAsia="arial" w:hAnsi="arial" w:cs="arial"/>
          <w:color w:val="000000"/>
          <w:sz w:val="20"/>
          <w:lang w:val="en-US" w:eastAsia="en-US" w:bidi="ar-SA"/>
        </w:rPr>
        <w:t>, the Supreme Court clarified that liability under this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is based on (or parasitic upon) the defendant's unlawful act against [a] third party. While the elements of the tort have been described in a number of ways, its core captures the intentional infliction of economic injury on C (the plaintiff) by A (the defendant)'s use of unlawful means against B (the third party)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Applying these elements to the material before me, Greengen knew by August 2009 that a spiritual bathing assertion was one of the factors that led to the denial of its applications for land tenure and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knew that it was the SN that made this assertion; that the assertion was made directly to the provincial government, whose decision-makers had control over the application process; and, Greengen knew that the spiritual bathing claim was made by SN in opposition to the plaintiff's proposed power project at Fries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Moreover, the plaintiff clearly believed well before August 2009 that the assertion was "wholly disingenuous". By July 30, 2008, Terry Sonderhoff had personally reached the conclusion, based on information known to him, that SN's claim of spiritual bathing lacked candor and was not sincere.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Greengen knew from the denial of its applications that its company had suffered loss or damage. In fact, the plaintiff explicitly warned the provincial government of this risk prior to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Upon being told that its applications were denied, Greengen had material facts available to it from which to allege each of the three constituent elements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Greengen argues it did not know that a court proceeding would be an appropriate means to seek a remedy until it received the FIPPA and Water Records. Only after seeing the Aboriginal Interest Consideration Report, dated July 24, 2009, and other documentation contained in the Records, did Greengen become aware that SN had never "objectively substantiated" the spiritual bathing claim to the provincial government. Greengen says that if it had filed a notice of civil claim alleging a false representation before knowing this fact, the claim would have been speculative and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view, the plaintiff's submission on this point overlooks at least two material facts that Greengen had within its knowledge well before it received the FIPPA and Water Records: (1) its own discussions with SN at the very start of the Fries Creek proposal in which it says SN raised no "site-specific aboriginal concerns", arguably undercutting the reliability of their subsequent claim; and (2) the Archaeological Overview Assessment which, on its face, objectively undermined SN's assertion of spiritual bathing by showing through research and expert opinion that Fries Creek was not traditionally used for this purpose. This assessment was informed by someone directly connected to the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Assuming, without deciding, that these facts were true, in August 2009 Greengen had access to an evidentiary foundation from which it knew, </w:t>
      </w:r>
      <w:r>
        <w:rPr>
          <w:rFonts w:ascii="arial" w:eastAsia="arial" w:hAnsi="arial" w:cs="arial"/>
          <w:i/>
          <w:color w:val="000000"/>
          <w:sz w:val="20"/>
          <w:lang w:val="en-US" w:eastAsia="en-US" w:bidi="ar-SA"/>
        </w:rPr>
        <w:t>or reasonably ought to have known</w:t>
      </w:r>
      <w:r>
        <w:rPr>
          <w:rFonts w:ascii="arial" w:eastAsia="arial" w:hAnsi="arial" w:cs="arial"/>
          <w:color w:val="000000"/>
          <w:sz w:val="20"/>
          <w:lang w:val="en-US" w:eastAsia="en-US" w:bidi="ar-SA"/>
        </w:rPr>
        <w:t>, that it could plead a cause of action against SN alleging that the provincial government was induced to deny the applications for land tenure and a water licence through "fraudulent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fact that the Aboriginal Interest Consideration Report showed a lack of "objective substantiation" by SN may have provided Greengen with corroborative evidence in support of its lawsuit, but it did not add material facts to the mix that made the difference on the issue of discoverability. Greengen knew since at least June 2008 that SN did not consider themselves under any obligation to "justify their position" on spiritual concerns relating to the Fries Creek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agree with SN that in placing the emphasis that it does on the Aboriginal Interest Consideration Report, as well as other of the FIPPA and Water Records, Greengen advances a position on the limitation issue that is similar to the one rejected by the Chambers judge in </w:t>
      </w:r>
      <w:r>
        <w:rPr>
          <w:rFonts w:ascii="arial" w:eastAsia="arial" w:hAnsi="arial" w:cs="arial"/>
          <w:i/>
          <w:color w:val="000000"/>
          <w:sz w:val="20"/>
          <w:lang w:val="en-US" w:eastAsia="en-US" w:bidi="ar-SA"/>
        </w:rPr>
        <w:t>Kuntz v. Worker's Compensation Board of British Columbia</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[1995] B.C.J. No. 2367</w:t>
        </w:r>
      </w:hyperlink>
      <w:r>
        <w:rPr>
          <w:rFonts w:ascii="arial" w:eastAsia="arial" w:hAnsi="arial" w:cs="arial"/>
          <w:color w:val="000000"/>
          <w:sz w:val="20"/>
          <w:lang w:val="en-US" w:eastAsia="en-US" w:bidi="ar-SA"/>
        </w:rPr>
        <w:t xml:space="preserve"> (S.C.), aff'd </w:t>
      </w:r>
      <w:hyperlink r:id="rId472" w:history="1">
        <w:r>
          <w:rPr>
            <w:rFonts w:ascii="arial" w:eastAsia="arial" w:hAnsi="arial" w:cs="arial"/>
            <w:i/>
            <w:color w:val="0077CC"/>
            <w:sz w:val="20"/>
            <w:u w:val="single"/>
            <w:shd w:val="clear" w:color="auto" w:fill="FFFFFF"/>
            <w:lang w:val="en-US" w:eastAsia="en-US" w:bidi="ar-SA"/>
          </w:rPr>
          <w:t>[1997] B.C.J. No. 1063</w:t>
        </w:r>
      </w:hyperlink>
      <w:r>
        <w:rPr>
          <w:rFonts w:ascii="arial" w:eastAsia="arial" w:hAnsi="arial" w:cs="arial"/>
          <w:color w:val="000000"/>
          <w:sz w:val="20"/>
          <w:lang w:val="en-US" w:eastAsia="en-US" w:bidi="ar-SA"/>
        </w:rPr>
        <w:t xml:space="preserve"> (C.A.). Limitations legislation "suspends time when the claims are unknown, </w:t>
      </w:r>
      <w:r>
        <w:rPr>
          <w:rFonts w:ascii="arial" w:eastAsia="arial" w:hAnsi="arial" w:cs="arial"/>
          <w:color w:val="000000"/>
          <w:sz w:val="20"/>
          <w:u w:val="single"/>
          <w:lang w:val="en-US" w:eastAsia="en-US" w:bidi="ar-SA"/>
        </w:rPr>
        <w:t>not when (simply) all of the evidence is not known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Kuntz</w:t>
      </w:r>
      <w:r>
        <w:rPr>
          <w:rFonts w:ascii="arial" w:eastAsia="arial" w:hAnsi="arial" w:cs="arial"/>
          <w:color w:val="000000"/>
          <w:sz w:val="20"/>
          <w:lang w:val="en-US" w:eastAsia="en-US" w:bidi="ar-SA"/>
        </w:rPr>
        <w:t>, at para. 87.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Long before August 2009, Greengen was expressing a belief that SN's assertion about the spiritual use of Fries Creek was "wholly disingenuous"; that "political" considerations were informing the decision-making process on Greengen's applications; that the provincial government's handling of the applications had become "unprincipled" and "arbitrary"; and, that "blanket" assertions made by SN were "vetoing" the proposed power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Presumably, these concerns were not intended to be spurious when they were made by Greengen and, instead, the plaintiff genuinely believed that it had a factual basis on which to assert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September 2009, Greengen filed an appeal from the denial of a water licence with the Environmental Appeal Board. The appeal alleged that the Regional Water Manager "relied on </w:t>
      </w:r>
      <w:r>
        <w:rPr>
          <w:rFonts w:ascii="arial" w:eastAsia="arial" w:hAnsi="arial" w:cs="arial"/>
          <w:color w:val="000000"/>
          <w:sz w:val="20"/>
          <w:u w:val="single"/>
          <w:lang w:val="en-US" w:eastAsia="en-US" w:bidi="ar-SA"/>
        </w:rPr>
        <w:t>incorrect, misleading or unsubstantiated claims by the Squamish First Nation</w:t>
      </w:r>
      <w:r>
        <w:rPr>
          <w:rFonts w:ascii="arial" w:eastAsia="arial" w:hAnsi="arial" w:cs="arial"/>
          <w:color w:val="000000"/>
          <w:sz w:val="20"/>
          <w:lang w:val="en-US" w:eastAsia="en-US" w:bidi="ar-SA"/>
        </w:rPr>
        <w:t xml:space="preserve"> ... with respect to: the existence and importance of a cultural site used for bathing on Fries Creek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its heart, this is the same allegation that underlies the notice of civil claim against SN.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September 2009, Greengen clearly saw itself as having the capacity to advance this allegation by way of administrative proceedings. It my view, it had also discovered its cause of action against SN. It did not file a notice of civil claim until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light of the developments that occurred during the application process, as perceived, framed and articulated by Greengen, by the time the requests for land tenure and a water licence were denied, I find that Greengen "[knew] the material facts upon which [its] cause of action is founded": </w:t>
      </w:r>
      <w:r>
        <w:rPr>
          <w:rFonts w:ascii="arial" w:eastAsia="arial" w:hAnsi="arial" w:cs="arial"/>
          <w:i/>
          <w:color w:val="000000"/>
          <w:sz w:val="20"/>
          <w:lang w:val="en-US" w:eastAsia="en-US" w:bidi="ar-SA"/>
        </w:rPr>
        <w:t>Roberts v. E. Sands &amp; Associates</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2014 BCCA 122</w:t>
        </w:r>
      </w:hyperlink>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such, I am satisfied on the evidence that there is a straightforward answer to the issues raised by Greengen as against SN. Further, I am satisfied that this answer warrants dismissal of the claim under Rule 9-6(5)(a). The action against SN was discovered by no later than August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notice of civil claim naming SN as a defendant was not filed until March 17, 2016. It is statute-barred and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Interim Advanced Costs and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light of the conclusion I have reached on SN's application to dismiss the notice of civil claim, it is not necessary that I address these two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the successful party, SN is entitled to its costs in this action pursuant to Rule 14-1(9). SN asks that they be assessed as special costs under Rule 14-1(3).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at para. 11, lists various circumstances in which special costs are appropriately ordered:</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or,</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Whether special costs are warranted is "case-specific and fact driven": </w:t>
      </w:r>
      <w:r>
        <w:rPr>
          <w:rFonts w:ascii="arial" w:eastAsia="arial" w:hAnsi="arial" w:cs="arial"/>
          <w:i/>
          <w:color w:val="000000"/>
          <w:sz w:val="20"/>
          <w:lang w:val="en-US" w:eastAsia="en-US" w:bidi="ar-SA"/>
        </w:rPr>
        <w:t>Wood Atkinson. v. Murphy</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2011 BCSC 1766</w:t>
        </w:r>
      </w:hyperlink>
      <w:r>
        <w:rPr>
          <w:rFonts w:ascii="arial" w:eastAsia="arial" w:hAnsi="arial" w:cs="arial"/>
          <w:color w:val="000000"/>
          <w:sz w:val="20"/>
          <w:lang w:val="en-US" w:eastAsia="en-US" w:bidi="ar-SA"/>
        </w:rPr>
        <w:t xml:space="preserve">, at para. 21. It is a matter of discretion on the part of the Court and requires a finding of "reprehensible conduct":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paras. 78 and 90, leave to appeal refused, </w:t>
      </w:r>
      <w:hyperlink r:id="rId477" w:history="1">
        <w:r>
          <w:rPr>
            <w:rFonts w:ascii="arial" w:eastAsia="arial" w:hAnsi="arial" w:cs="arial"/>
            <w:i/>
            <w:color w:val="0077CC"/>
            <w:sz w:val="20"/>
            <w:u w:val="single"/>
            <w:shd w:val="clear" w:color="auto" w:fill="FFFFFF"/>
            <w:lang w:val="en-US" w:eastAsia="en-US" w:bidi="ar-SA"/>
          </w:rPr>
          <w:t>2015 CarswellBC 980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Conduct is appropriately defined as "reprehensible" if it is "scandalous or outrageous", or conduct "deserving of reproof or rebuke": </w:t>
      </w:r>
      <w:r>
        <w:rPr>
          <w:rFonts w:ascii="arial" w:eastAsia="arial" w:hAnsi="arial" w:cs="arial"/>
          <w:i/>
          <w:color w:val="000000"/>
          <w:sz w:val="20"/>
          <w:lang w:val="en-US" w:eastAsia="en-US" w:bidi="ar-SA"/>
        </w:rPr>
        <w:t>Watson v. Slavik</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[1996] B.C.J. No. 1885</w:t>
        </w:r>
      </w:hyperlink>
      <w:r>
        <w:rPr>
          <w:rFonts w:ascii="arial" w:eastAsia="arial" w:hAnsi="arial" w:cs="arial"/>
          <w:color w:val="000000"/>
          <w:sz w:val="20"/>
          <w:lang w:val="en-US" w:eastAsia="en-US" w:bidi="ar-SA"/>
        </w:rPr>
        <w:t xml:space="preserve"> (S.C.), at para. 5, citing </w:t>
      </w:r>
      <w:r>
        <w:rPr>
          <w:rFonts w:ascii="arial" w:eastAsia="arial" w:hAnsi="arial" w:cs="arial"/>
          <w:i/>
          <w:color w:val="000000"/>
          <w:sz w:val="20"/>
          <w:lang w:val="en-US" w:eastAsia="en-US" w:bidi="ar-SA"/>
        </w:rPr>
        <w:t>Garcia v. Crestbrook Forest Industries Ltd. (No. 2)</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(1994), 45 B.C.A.C. 222</w:t>
        </w:r>
      </w:hyperlink>
      <w:r>
        <w:rPr>
          <w:rFonts w:ascii="arial" w:eastAsia="arial" w:hAnsi="arial" w:cs="arial"/>
          <w:color w:val="000000"/>
          <w:sz w:val="20"/>
          <w:lang w:val="en-US" w:eastAsia="en-US" w:bidi="ar-SA"/>
        </w:rPr>
        <w:t xml:space="preserve"> and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SN argues that special costs are warranted because Greengen brought a claim of fraudulent misrepresentation out of time and without merit. Moreover, SN says Greengen took a "scatter-gun" approach to its litigation, filing both a petition and a notice of civil claim, all of which is "designed to maximize legal costs to the Squamish Nation on a spurious case, and are aimed to either punish or try and bring leverage to force the Nation to succumb, and is deserving of censure".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read the affidavit material filed in support of SN's application for summary dismissal. I do not see, in there, a sufficient basis from which to find "reprehensible conduct" on the part of Greengen, deserving of rebuke in the form of special costs. In particular, I see no evidentiary support for the allegation that Greengen has taken the approach it has to "maximize legal costs" for SN, or to "bring leverage to force the Nation to succumb".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must be kept in mind that whether Greengen's claim against SN is meritorious in substance, or is adequately supported by the facts,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such, to conclude that special costs are warranted simply on the basis that an allegation of false or negligent misrepresentation was brought six months out of time, would functionally mean that any claim of this nature that is dismissed on the basis of a limitation defence, whether on summary judgment or after trial, would warrant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Although I appreciate the serious nature of the claim made against SN, in my view, something more is required to attract a special costs award. Costs are therefore awarded to SN on the action, assessed in accordance with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This ruling is not intended in any way to prejudice SN's entitlement to seek costs, including special costs, within the context of the petition. Whether they are warranted is, of course, a discretionary determination to be made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Application Brought by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Striking the Claim for Non-compliance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Relying on Rules 22-7(2)(b) and (d), the Province seeks orders striking the notice of civil claim for alleged non-compliance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This includes an argument that: (1) the civil claim, in its original form, was improperly commenced by a non-existent entity ("Greengen Holdings Inc."); (2) the claim fails to plead material facts that connect the Fries Creek project and its impugned application process to "Greengen Holdings Ltd." (the named plaintiff following amendment); (3) the absence of a connection means that the plaintiff has failed to plead material facts that establish a cause of action against the Province; and (4) postponement of the limitation period has not been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Striking a pleading for failure to comply with the Rules is a "draconian remedy" to be granted only in the most "egregious of cases": </w:t>
      </w:r>
      <w:r>
        <w:rPr>
          <w:rFonts w:ascii="arial" w:eastAsia="arial" w:hAnsi="arial" w:cs="arial"/>
          <w:i/>
          <w:color w:val="000000"/>
          <w:sz w:val="20"/>
          <w:lang w:val="en-US" w:eastAsia="en-US" w:bidi="ar-SA"/>
        </w:rPr>
        <w:t>Besic v. Kerenyi</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2012 BCCA 187</w:t>
        </w:r>
      </w:hyperlink>
      <w:r>
        <w:rPr>
          <w:rFonts w:ascii="arial" w:eastAsia="arial" w:hAnsi="arial" w:cs="arial"/>
          <w:color w:val="000000"/>
          <w:sz w:val="20"/>
          <w:lang w:val="en-US" w:eastAsia="en-US" w:bidi="ar-SA"/>
        </w:rPr>
        <w:t xml:space="preserve">, at para. 16, citing </w:t>
      </w:r>
      <w:r>
        <w:rPr>
          <w:rFonts w:ascii="arial" w:eastAsia="arial" w:hAnsi="arial" w:cs="arial"/>
          <w:i/>
          <w:color w:val="000000"/>
          <w:sz w:val="20"/>
          <w:lang w:val="en-US" w:eastAsia="en-US" w:bidi="ar-SA"/>
        </w:rPr>
        <w:t>Muscroft v. Eurocopter S.A.</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Before making any such order, the Court must consider whether the alleged non-compliance was wilful or intentional; whether the scope of the remedy sought by the applicant is excessive, or disproportionate, in light of the impugned conduct; and, whether a second chance should be given to remedy the breach: </w:t>
      </w:r>
      <w:r>
        <w:rPr>
          <w:rFonts w:ascii="arial" w:eastAsia="arial" w:hAnsi="arial" w:cs="arial"/>
          <w:i/>
          <w:color w:val="000000"/>
          <w:sz w:val="20"/>
          <w:lang w:val="en-US" w:eastAsia="en-US" w:bidi="ar-SA"/>
        </w:rPr>
        <w:t>Besic</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Applying these principles to the Application Record, the Province has failed to persuade me that striking the notice of civil claim on grounds of non-compliance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primary objection made under Rule 22-7(2), and the one pressed most forcefully before me in argument, is that the civil action was originally filed in the name of Greengen Holdings Inc. It is agreed between the parties that no such corporate entity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Zynik Capital Corp. v. Faris et al.</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2004 BCSC 1032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Lotzkar</w:t>
      </w:r>
      <w:r>
        <w:rPr>
          <w:rFonts w:ascii="arial" w:eastAsia="arial" w:hAnsi="arial" w:cs="arial"/>
          <w:color w:val="000000"/>
          <w:sz w:val="20"/>
          <w:lang w:val="en-US" w:eastAsia="en-US" w:bidi="ar-SA"/>
        </w:rPr>
        <w:t>, the Province argues that filing in the name of a non-existent corporation is prohibited. Moreover, it renders the notice of civil claim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Zynik</w:t>
      </w:r>
      <w:r>
        <w:rPr>
          <w:rFonts w:ascii="arial" w:eastAsia="arial" w:hAnsi="arial" w:cs="arial"/>
          <w:color w:val="000000"/>
          <w:sz w:val="20"/>
          <w:lang w:val="en-US" w:eastAsia="en-US" w:bidi="ar-SA"/>
        </w:rPr>
        <w:t xml:space="preserve">, a claim was struck on grounds that the named plaintiff, which was once an active and viable entity, had voluntarily dissolved and was no longer in existence prior to the date of filing. In </w:t>
      </w:r>
      <w:r>
        <w:rPr>
          <w:rFonts w:ascii="arial" w:eastAsia="arial" w:hAnsi="arial" w:cs="arial"/>
          <w:i/>
          <w:color w:val="000000"/>
          <w:sz w:val="20"/>
          <w:lang w:val="en-US" w:eastAsia="en-US" w:bidi="ar-SA"/>
        </w:rPr>
        <w:t>Lotzkar</w:t>
      </w:r>
      <w:r>
        <w:rPr>
          <w:rFonts w:ascii="arial" w:eastAsia="arial" w:hAnsi="arial" w:cs="arial"/>
          <w:color w:val="000000"/>
          <w:sz w:val="20"/>
          <w:lang w:val="en-US" w:eastAsia="en-US" w:bidi="ar-SA"/>
        </w:rPr>
        <w:t>, the plaintiff named in the civil claim was incorporated 12 years after dissolution of the corporate entity that entered into the agreement from which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When the non-existent corporate status of Greengen Holdings Inc. was brought to the plaintiff's attention, the plaintiff filed an amended notice of civil claim in the name of "Greengen Holdings Ltd., also known as Greengen Holdings Inc.". The plaintiff took this step relying on Rule 6-1(1)(a), which allows for an amendment without leave. The amended claim was filed on December 15,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Province says Greengen was not allowed to make this amendment and it should have brought an application under Rule 6-2(7) to add or substitute Greengen Holdings Ltd. into the claim. This was a new and completely separate entity from the fictitious Greengen Holdings Inc. In failing to take this step, the plaintiff has wrongfully circumvented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Even if not correct about this, the Province says Greengen Holdings Ltd. has not pleaded any facts showing a nexus between its existence as a corporate entity and the party that applied for land tenure and a water licence in February 2005. As a result, the civil suit is being advanced by an entity that has no cause of action against the Province, or standing to seek a remedy arising out of the Fries Creek application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2005 land tenure and water applications were filed in the name of "Pacific Greengen Power a division of second reality effects inc.". The Application Record contains a BC Company Summary for Greengen Holdings Ltd. which shows that Second Reality Effects Inc. was incorporated in June 1994 and dissolved on October 31, 1997. It was then "fully restored" on November 2, 2001. On October 16, 2007, after the applications for land tenure and a water licence were made, but prior to their denial, Second Reality Effects Inc. underwent a name change to Greengen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Greengen says that in light of this corporate history, and the totality of the pleaded facts, the Province and SN have known all along whom they are responding to in the lawsuit and within what context. In making the argument that it does under Rule 22-7, the Province is putting form over substance. Filing under the name of Greengen Holdings "Inc." rather than "Ltd." is appropriately characterized as a misnomer and leave was not required to file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any event, Greengen argues that no one has been prejudiced by the amendment and the civil action should be allowed to proceed on the assumption that Greengen Holdings Ltd. is a properly named plaintiff and materially connected to the Fries Creek application process. The nexus between Greengen Holdings Ltd., the 2005 applications, their denial and the resultant claim for damages is self-evident.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agree with Greengen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Jackson v. Bubela et 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(1972), 28 D.L.R. (3d) 500</w:t>
        </w:r>
      </w:hyperlink>
      <w:r>
        <w:rPr>
          <w:rFonts w:ascii="arial" w:eastAsia="arial" w:hAnsi="arial" w:cs="arial"/>
          <w:color w:val="000000"/>
          <w:sz w:val="20"/>
          <w:lang w:val="en-US" w:eastAsia="en-US" w:bidi="ar-SA"/>
        </w:rPr>
        <w:t xml:space="preserve"> (B.C.C.A.), at p. 503, Bull J.A. adopted the following test from </w:t>
      </w:r>
      <w:r>
        <w:rPr>
          <w:rFonts w:ascii="arial" w:eastAsia="arial" w:hAnsi="arial" w:cs="arial"/>
          <w:i/>
          <w:color w:val="000000"/>
          <w:sz w:val="20"/>
          <w:lang w:val="en-US" w:eastAsia="en-US" w:bidi="ar-SA"/>
        </w:rPr>
        <w:t>Davies v. Elsby Brothers, Ltd.</w:t>
      </w:r>
      <w:r>
        <w:rPr>
          <w:rFonts w:ascii="arial" w:eastAsia="arial" w:hAnsi="arial" w:cs="arial"/>
          <w:color w:val="000000"/>
          <w:sz w:val="20"/>
          <w:lang w:val="en-US" w:eastAsia="en-US" w:bidi="ar-SA"/>
        </w:rPr>
        <w:t>, [1960] 3 All E.R. 672, in assessing whether a change in a party's name constitutes a misnomer: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be: How would a reasonable person receiving the document take it? If, in all the circumstances of the case and looking at the document as a whole, he would say to himself: Of course it must mean me, but they have got my name wrong', then there is a case of mere misnomer. If, on the other hand, he would say: I cannot tell from the document itself whether they mean me or not and I shall have to make inquiries', then it seems to me that one is getting beyond the realm of misnomer. One of the factors which must operate on the mind of the recipient of a document, and which operates in this case, is whether there is or is not another entity to whom the description on the writ might 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am satisfied that a reasonable person reviewing the notice of civil claim in this case, both in its original form and as amended, would know who the plaintiff is and recognize that the original style of cause simply "got [the] name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Among other things, Greengen Holdings Inc. is described in the originally pleaded facts as the "developer of sustainable hydropower projects" that "submitted" applications for Crown land tenure and a water licence for Fries Creek in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Terry Sonderhoff is explicitly identified as the president and owner of Greengen Holdings Inc. and, on the pleading, he is also identified as the person who met directly with provincial government officials and SN about the proposed power project at Fries Creek, both before and after the applications were submitted. The claim's Statement of Facts sets out the material developments that occurred during the course of the application process, from beginning to end, including the exchange of correspondence between the various parties. On plain reading, there can be no mistaking that the entity complaining of the process, and seeking damages from the manner in which the decisions were made, was the proponent of the proposed Fries Creek power project that applied for land tenure and a water licence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Indeed, neither SN nor the Province has suggested that they were in any way confused about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the circumstances of this case, the description of the plaintiff as Greengen Holdings Inc. is best described as a misnomer. And, on this basis, the case is distinguishable from </w:t>
      </w:r>
      <w:r>
        <w:rPr>
          <w:rFonts w:ascii="arial" w:eastAsia="arial" w:hAnsi="arial" w:cs="arial"/>
          <w:i/>
          <w:color w:val="000000"/>
          <w:sz w:val="20"/>
          <w:lang w:val="en-US" w:eastAsia="en-US" w:bidi="ar-SA"/>
        </w:rPr>
        <w:t>Zynik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Lotzkar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Zynik</w:t>
      </w:r>
      <w:r>
        <w:rPr>
          <w:rFonts w:ascii="arial" w:eastAsia="arial" w:hAnsi="arial" w:cs="arial"/>
          <w:color w:val="000000"/>
          <w:sz w:val="20"/>
          <w:lang w:val="en-US" w:eastAsia="en-US" w:bidi="ar-SA"/>
        </w:rPr>
        <w:t xml:space="preserve">, the named plaintiff was once an existing and active entity that dissolved before an action was filed in its name. In </w:t>
      </w:r>
      <w:r>
        <w:rPr>
          <w:rFonts w:ascii="arial" w:eastAsia="arial" w:hAnsi="arial" w:cs="arial"/>
          <w:i/>
          <w:color w:val="000000"/>
          <w:sz w:val="20"/>
          <w:lang w:val="en-US" w:eastAsia="en-US" w:bidi="ar-SA"/>
        </w:rPr>
        <w:t>Lotzkar</w:t>
      </w:r>
      <w:r>
        <w:rPr>
          <w:rFonts w:ascii="arial" w:eastAsia="arial" w:hAnsi="arial" w:cs="arial"/>
          <w:color w:val="000000"/>
          <w:sz w:val="20"/>
          <w:lang w:val="en-US" w:eastAsia="en-US" w:bidi="ar-SA"/>
        </w:rPr>
        <w:t>, the agreement that underlay the cause of action was entered into by an existing and active entity that dissolved 12 years before the named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this case, Greengen Holdings Inc. has never actually been an existing or active entity. Instead, "Pacific Greengen Power a division of second reality effects inc." applied for Crown land tenure and a water licence; before these applications were denied, Second Reality Effects Inc. changed its name to Greengen Holdings Ltd.; and, when filing the notice of civil claim in March 2016, the abbreviation "Inc." was included, rather than "Ltd.". From beginning to end, as made manifest from the pleaded facts in both the original and amended claim, there was a consistent, connecting and transparent thread that wove its way through, namely, the involvement of Terry Sonderhoff as the principal of "Greengen".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Because I have found that filing under the name of Greengen Holdings Inc. constitutes a misnomer, I am also satisfied that amending the style of cause to read "Greengen Holdings Ltd., also known as Greengen Holdings Inc." in December 2016 did not add a new party to the claim; rather, it corrected the misstatement. The identification of the plaintiff in the style of cause is still not pristine (as Greengen Holdings Inc. is not a correct name), but, the circumstances of this case are distinguishable from </w:t>
      </w:r>
      <w:r>
        <w:rPr>
          <w:rFonts w:ascii="arial" w:eastAsia="arial" w:hAnsi="arial" w:cs="arial"/>
          <w:i/>
          <w:color w:val="000000"/>
          <w:sz w:val="20"/>
          <w:lang w:val="en-US" w:eastAsia="en-US" w:bidi="ar-SA"/>
        </w:rPr>
        <w:t>Alexis v. Duncan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2015 BCCA 135</w:t>
        </w:r>
      </w:hyperlink>
      <w:r>
        <w:rPr>
          <w:rFonts w:ascii="arial" w:eastAsia="arial" w:hAnsi="arial" w:cs="arial"/>
          <w:color w:val="000000"/>
          <w:sz w:val="20"/>
          <w:lang w:val="en-US" w:eastAsia="en-US" w:bidi="ar-SA"/>
        </w:rPr>
        <w:t>, which is also relied upon by the Province in support of its argument under Rule 22-7(2).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There, Goepel J.A. held at para. 20 that "the only manner upon which a party can be joined to an action after it has been commenced is pursuant to an application under R. 6-2(7)".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the two plaintiffs added a seventh defendant to their claim after filing and before service. This type of amendment is prohibited without leave because it deprives the new party of an opportunity to oppose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An application to join a party should only take place after all parties who may have an interest, including the existing parties to the proceedings and the proposed new party, have notice. Notice gives the parties the opportunity to make submissions and the submissions, in turn, provide context to the chambers judge to determine whether or not joinder of the party is just and convenient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case at bar, the number of plaintiffs was not expanded by the amendment made by Greengen; substantively, no new players were introduced into the litigation and no new causes of action, or material facts, were put forward that changed the matrix surrounding the basis on which civil liability is said to be grounded. Instead, the plaintiff's name was corrected to ensure that it reflected its proper status: "Ltd." rather than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my view, the situation here is not unlike </w:t>
      </w:r>
      <w:r>
        <w:rPr>
          <w:rFonts w:ascii="arial" w:eastAsia="arial" w:hAnsi="arial" w:cs="arial"/>
          <w:i/>
          <w:color w:val="000000"/>
          <w:sz w:val="20"/>
          <w:lang w:val="en-US" w:eastAsia="en-US" w:bidi="ar-SA"/>
        </w:rPr>
        <w:t>Kelby Contracting Ltd. v. Weyerhaueser Canada Ltd.</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1996 CanLII 1480</w:t>
        </w:r>
      </w:hyperlink>
      <w:r>
        <w:rPr>
          <w:rFonts w:ascii="arial" w:eastAsia="arial" w:hAnsi="arial" w:cs="arial"/>
          <w:color w:val="000000"/>
          <w:sz w:val="20"/>
          <w:lang w:val="en-US" w:eastAsia="en-US" w:bidi="ar-SA"/>
        </w:rPr>
        <w:t xml:space="preserve"> (BC SC). In that case, the Court allowed a plaintiff to amend its name to accord with its status at the time the writ of summons was issued: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 In the present case, the application is merely to change the name of the plaintiff, not to substitute one plaintiff for another. </w:t>
      </w:r>
      <w:r>
        <w:rPr>
          <w:rFonts w:ascii="arial" w:eastAsia="arial" w:hAnsi="arial" w:cs="arial"/>
          <w:color w:val="000000"/>
          <w:sz w:val="20"/>
          <w:u w:val="single"/>
          <w:lang w:val="en-US" w:eastAsia="en-US" w:bidi="ar-SA"/>
        </w:rPr>
        <w:t>There is no entity now known as Kelby Contracting Ltd.</w:t>
      </w:r>
      <w:r>
        <w:rPr>
          <w:rFonts w:ascii="arial" w:eastAsia="arial" w:hAnsi="arial" w:cs="arial"/>
          <w:color w:val="000000"/>
          <w:sz w:val="20"/>
          <w:lang w:val="en-US" w:eastAsia="en-US" w:bidi="ar-SA"/>
        </w:rPr>
        <w:t xml:space="preserve">, although it might have been open to the plaintiff to argue that they were carrying on business under the name of Kelby Contracting Ltd. and therefore entitled to sue in that name. </w:t>
      </w:r>
      <w:r>
        <w:rPr>
          <w:rFonts w:ascii="arial" w:eastAsia="arial" w:hAnsi="arial" w:cs="arial"/>
          <w:color w:val="000000"/>
          <w:sz w:val="20"/>
          <w:u w:val="single"/>
          <w:lang w:val="en-US" w:eastAsia="en-US" w:bidi="ar-SA"/>
        </w:rPr>
        <w:t>The entity described as Kelby Contracting Ltd. was correctly described at the time of the original contracts, but had become Elkhart Lodge Ltd. by the time the writ was issued. Given that there was no confusion about who the parties were dealing with other than the name, I am satisfied that the plaintiff has met the onus upon it of demonstrating that there is no prejudice to these defendants if the name of the plaintiff is changed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am not prepared to grant the remedy sought by the Province under Rule 22-7(2) based on the plaintiff's failure to use "Ltd." rather than "Inc." in the style of cause, or its failure to seek leave prior to filing an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note that the petition for judicial review has also been filed in the name of Greengen Holdings Inc. It was filed two months prior to the notice of civil claim. The Province is a respondent to the petition. Counsel for the Province who appeared before me candidly acknowledged that no objection has been raised to the use of "Inc." in that other proceeding, even though the petition arises out of the same acts or omissions that underlay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This fact speaks volumes about the extent to which the misstatement of Greengen's name has generated confusion or presented substantive concern to the Province. As noted by Hutchison J. in </w:t>
      </w:r>
      <w:r>
        <w:rPr>
          <w:rFonts w:ascii="arial" w:eastAsia="arial" w:hAnsi="arial" w:cs="arial"/>
          <w:i/>
          <w:color w:val="000000"/>
          <w:sz w:val="20"/>
          <w:lang w:val="en-US" w:eastAsia="en-US" w:bidi="ar-SA"/>
        </w:rPr>
        <w:t>Sutton Group-Resource Realty v. John Howard Duncan and Sheila Mae Duncan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[1992] B.C.J. No. 2192</w:t>
        </w:r>
      </w:hyperlink>
      <w:r>
        <w:rPr>
          <w:rFonts w:ascii="arial" w:eastAsia="arial" w:hAnsi="arial" w:cs="arial"/>
          <w:color w:val="000000"/>
          <w:sz w:val="20"/>
          <w:lang w:val="en-US" w:eastAsia="en-US" w:bidi="ar-SA"/>
        </w:rPr>
        <w:t xml:space="preserve"> October 14, 1992, Victoria Registry 2931/92 (B.C.S.C.), an "error involving identity" is generally only of "material significance" where it creates "uncertainly, confusion, or prejudice": 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this sense, the circumstances before me are not dissimilar from </w:t>
      </w:r>
      <w:r>
        <w:rPr>
          <w:rFonts w:ascii="arial" w:eastAsia="arial" w:hAnsi="arial" w:cs="arial"/>
          <w:i/>
          <w:color w:val="000000"/>
          <w:sz w:val="20"/>
          <w:lang w:val="en-US" w:eastAsia="en-US" w:bidi="ar-SA"/>
        </w:rPr>
        <w:t>Ladouceur v. Howarth</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[1974] S.C.R. 1111</w:t>
        </w:r>
      </w:hyperlink>
      <w:r>
        <w:rPr>
          <w:rFonts w:ascii="arial" w:eastAsia="arial" w:hAnsi="arial" w:cs="arial"/>
          <w:color w:val="000000"/>
          <w:sz w:val="20"/>
          <w:lang w:val="en-US" w:eastAsia="en-US" w:bidi="ar-SA"/>
        </w:rPr>
        <w:t>. There, the Supreme Court characterized a correction of the plaintiff's name as a misnomer, at least in part, based on the fact that the defendant's solicitor understood from early on who he was dealing with. Accordingly, when he was served with the writ, he would have recognized who the real plaintiff was and that he was mistakenly named: at p. 116. In substance, the same can be said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Finally, consistent with the approach suggested by Hood J. in </w:t>
      </w:r>
      <w:r>
        <w:rPr>
          <w:rFonts w:ascii="arial" w:eastAsia="arial" w:hAnsi="arial" w:cs="arial"/>
          <w:i/>
          <w:color w:val="000000"/>
          <w:sz w:val="20"/>
          <w:lang w:val="en-US" w:eastAsia="en-US" w:bidi="ar-SA"/>
        </w:rPr>
        <w:t>Broom v. The Royal Centre et al</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2005 BCSC 1630</w:t>
        </w:r>
      </w:hyperlink>
      <w:r>
        <w:rPr>
          <w:rFonts w:ascii="arial" w:eastAsia="arial" w:hAnsi="arial" w:cs="arial"/>
          <w:color w:val="000000"/>
          <w:sz w:val="20"/>
          <w:lang w:val="en-US" w:eastAsia="en-US" w:bidi="ar-SA"/>
        </w:rPr>
        <w:t>, at para. 15, I have considered whether leave would have been granted if an application to amend had been brought under Rule 6-2(7). I am satisfied it would have. For the reasons already provided, allowing the plaintiff to correct its corporate status would have been "just and convenient".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Striking the Claim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Relying on the collateral attack doctrine, the Province applies to strike the notice of civil claim against it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Rule 9-5(1) allows the Court to order that a proceeding be stayed or dismissed where: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otherwise an abuse of the process of the court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Province argues that Greengen's claim for damages constitutes an abuse of process within the meaning of Rule 9-5(1)(d). Greengen alleges that the persons who denied the applications for land tenure and a water licence acted unlawfully, at least in part, by improperly relying on SN's representations about spiritual bathing at Fries Creek. This is the same basis on which the petition for judicial review was filed in January 2016. As both proceedings seek to challenge the lawfulness of the decisions made, the Province argues that the petition and the civil claim do not raise distinct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Greengen disagrees. Although establishing the unlawfulness of the decisions denying land tenure and a water licence is a necessary element of the tort alleged against the Province, the notice of civil claim seeks damages for economic losses suffered as a result of the denials, not a quashing of the decisions themselves. A claim for damages cannot be made within the context of a judicial review proceeding, and the petition and notice of civil claim are therefore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2013 BCCA 359</w:t>
        </w:r>
      </w:hyperlink>
      <w:r>
        <w:rPr>
          <w:rFonts w:ascii="arial" w:eastAsia="arial" w:hAnsi="arial" w:cs="arial"/>
          <w:color w:val="000000"/>
          <w:sz w:val="20"/>
          <w:lang w:val="en-US" w:eastAsia="en-US" w:bidi="ar-SA"/>
        </w:rPr>
        <w:t xml:space="preserve">, the Court of Appeal made clear at para. 61 that a claim requiring proof of unlawful conduct on the part of a statutory decision-maker, standing alone, does not constitute an abuse of process simply because it raises issues that are amenable to judicial review. Nor is a plaintiff obliged to "pursue the most timely or efficient proceeding" and seek judicial review before filing a civil action arising out of the same set of circumstances: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at paras. 18, 25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Instead, the question to be asked when a defendant alleges an abuse of process within the meaning of Rule 9-5(1)(d), "is whether [the civil claim raises] allegations of tortious fault that are distinct and separate from allegations that were more properly addressed on an application for judicial review":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at para. 63. Where a civil claim "is essentially a challenge to a government decision, the proper proceeding is by judicial review":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Krist v. British Columbia</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2017 BCCA 78</w:t>
        </w:r>
      </w:hyperlink>
      <w:r>
        <w:rPr>
          <w:rFonts w:ascii="arial" w:eastAsia="arial" w:hAnsi="arial" w:cs="arial"/>
          <w:color w:val="000000"/>
          <w:sz w:val="20"/>
          <w:lang w:val="en-US" w:eastAsia="en-US" w:bidi="ar-SA"/>
        </w:rPr>
        <w:t>, the Court of Appeal stated the test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To determine whether a claim constitutes a collateral attack, the court should inquire into whether the claim, or any part of the claim, is "in effect" an appeal of an order ...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Moulton Contracting Ltd. v. Behn</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xml:space="preserve">, aff'd </w:t>
      </w:r>
      <w:hyperlink r:id="rId492"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wherein the Court examined the "essence of the impugned pleading" to assess whether it amounted to a collateral attack: para. 58. The pleading was focused on the validity of instruments that were granted by government: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w:t>
      </w:r>
      <w:r>
        <w:rPr>
          <w:rFonts w:ascii="arial" w:eastAsia="arial" w:hAnsi="arial" w:cs="arial"/>
          <w:color w:val="000000"/>
          <w:sz w:val="20"/>
          <w:u w:val="single"/>
          <w:lang w:val="en-US" w:eastAsia="en-US" w:bidi="ar-SA"/>
        </w:rPr>
        <w:t>As the core allegation in these paragraphs is that the Crown-granted licences and road permit are invalid</w:t>
      </w:r>
      <w:r>
        <w:rPr>
          <w:rFonts w:ascii="arial" w:eastAsia="arial" w:hAnsi="arial" w:cs="arial"/>
          <w:color w:val="000000"/>
          <w:sz w:val="20"/>
          <w:lang w:val="en-US" w:eastAsia="en-US" w:bidi="ar-SA"/>
        </w:rPr>
        <w:t>, I consider the struck defences are an impermissible collateral attack upon the instruments held by Moulton. For this reason, and independently of my conclusion on the standing issue, I would not accede to the second ground of appeal.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have compared the notice of civil claim filed in March 2016, as well as the amended claim filed in December 2016, with Greengen's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my view, the civil claim (as amended) and the petition are "in essence" the same thing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Province, namely: a complaint about the lawfulness of the decisions made by statutory decision-makers to deny Crown land tenure and a water licence, including the process that led to these decisions and the factors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fact, both the original and amended claim contains the following heading at the top of the first page: "In The Matter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Although I think it likely that the inclusion of this heading was inadvertent, it does expose a cut-and-paste approach to the notice of civil claim and its close connection to the pre-existing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petition seeks a number of orders, including orders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(1) quashing the November 2015 decision of the Environmental Appeal Board; (2) quashing the August 2009 denial of Crown land tenure; and (3) quashing the August 2009 denial of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Part 2 of the petition sets out the "Factual Basis" relied upon in support of these orders. As it relates to the Province, there is little (if any) substantive difference between the facts pled in the petition and the facts pled in the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Part 3 of the petition sets out Greengen's "Legal Basis" for the orders sought. Specific to the decision-makers, the petition alleges: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ILMB and [Regional Water Manager] erred in granting SFN an </w:t>
      </w:r>
      <w:r>
        <w:rPr>
          <w:rFonts w:ascii="arial" w:eastAsia="arial" w:hAnsi="arial" w:cs="arial"/>
          <w:color w:val="000000"/>
          <w:sz w:val="20"/>
          <w:u w:val="single"/>
          <w:lang w:val="en-US" w:eastAsia="en-US" w:bidi="ar-SA"/>
        </w:rPr>
        <w:t>impermissible veto</w:t>
      </w:r>
      <w:r>
        <w:rPr>
          <w:rFonts w:ascii="arial" w:eastAsia="arial" w:hAnsi="arial" w:cs="arial"/>
          <w:color w:val="000000"/>
          <w:sz w:val="20"/>
          <w:lang w:val="en-US" w:eastAsia="en-US" w:bidi="ar-SA"/>
        </w:rPr>
        <w:t xml:space="preserve"> over the Project;</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ILMB and [Regional Water Manager] erred in interpreting their respective duties to accommodate in a manner that caused undue hardship to Greengen and failed to account for competing interests and circumstances;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ILMB and [Regional Water Manager] </w:t>
      </w:r>
      <w:r>
        <w:rPr>
          <w:rFonts w:ascii="arial" w:eastAsia="arial" w:hAnsi="arial" w:cs="arial"/>
          <w:color w:val="000000"/>
          <w:sz w:val="20"/>
          <w:u w:val="single"/>
          <w:lang w:val="en-US" w:eastAsia="en-US" w:bidi="ar-SA"/>
        </w:rPr>
        <w:t>erred in accepting SFN's assertion that the Project would interfere with its spiritual bathing practices</w:t>
      </w:r>
      <w:r>
        <w:rPr>
          <w:rFonts w:ascii="arial" w:eastAsia="arial" w:hAnsi="arial" w:cs="arial"/>
          <w:color w:val="000000"/>
          <w:sz w:val="20"/>
          <w:lang w:val="en-US" w:eastAsia="en-US" w:bidi="ar-SA"/>
        </w:rPr>
        <w:t xml:space="preserve"> and that no accommodation was possible, </w:t>
      </w:r>
      <w:r>
        <w:rPr>
          <w:rFonts w:ascii="arial" w:eastAsia="arial" w:hAnsi="arial" w:cs="arial"/>
          <w:color w:val="000000"/>
          <w:sz w:val="20"/>
          <w:u w:val="single"/>
          <w:lang w:val="en-US" w:eastAsia="en-US" w:bidi="ar-SA"/>
        </w:rPr>
        <w:t>despite that SFN failed to substantiate this assertion in any material way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notice of civil claim (as amended), the "Legal Basis" for seeking general and special damages against the Province is articulated this way:</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denials of land tenure and a water licence "were made for </w:t>
      </w:r>
      <w:r>
        <w:rPr>
          <w:rFonts w:ascii="arial" w:eastAsia="arial" w:hAnsi="arial" w:cs="arial"/>
          <w:color w:val="000000"/>
          <w:sz w:val="20"/>
          <w:u w:val="single"/>
          <w:lang w:val="en-US" w:eastAsia="en-US" w:bidi="ar-SA"/>
        </w:rPr>
        <w:t>collateral political or otherwise improper reasons</w:t>
      </w:r>
      <w:r>
        <w:rPr>
          <w:rFonts w:ascii="arial" w:eastAsia="arial" w:hAnsi="arial" w:cs="arial"/>
          <w:color w:val="000000"/>
          <w:sz w:val="20"/>
          <w:lang w:val="en-US" w:eastAsia="en-US" w:bidi="ar-SA"/>
        </w:rPr>
        <w:t xml:space="preserve"> having no relation to the merits or legality of the Project";</w:t>
      </w:r>
    </w:p>
    <w:p>
      <w:pPr>
        <w:numPr>
          <w:numId w:val="6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decisions were "</w:t>
      </w:r>
      <w:r>
        <w:rPr>
          <w:rFonts w:ascii="arial" w:eastAsia="arial" w:hAnsi="arial" w:cs="arial"/>
          <w:color w:val="000000"/>
          <w:sz w:val="20"/>
          <w:u w:val="single"/>
          <w:lang w:val="en-US" w:eastAsia="en-US" w:bidi="ar-SA"/>
        </w:rPr>
        <w:t>incorrect in law</w:t>
      </w:r>
      <w:r>
        <w:rPr>
          <w:rFonts w:ascii="arial" w:eastAsia="arial" w:hAnsi="arial" w:cs="arial"/>
          <w:color w:val="000000"/>
          <w:sz w:val="20"/>
          <w:lang w:val="en-US" w:eastAsia="en-US" w:bidi="ar-SA"/>
        </w:rPr>
        <w:t>";</w:t>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statutory decision-makers knew that their decisions were "invalid, unlawful and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that they were likely to cause damage to Greengen";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their powers as public officers, the ILMB and Regional Water Manager "</w:t>
      </w:r>
      <w:r>
        <w:rPr>
          <w:rFonts w:ascii="arial" w:eastAsia="arial" w:hAnsi="arial" w:cs="arial"/>
          <w:color w:val="000000"/>
          <w:sz w:val="20"/>
          <w:u w:val="single"/>
          <w:lang w:val="en-US" w:eastAsia="en-US" w:bidi="ar-SA"/>
        </w:rPr>
        <w:t>knowingly made invalid, unlawful and ultra vires decisions with knowledge</w:t>
      </w:r>
      <w:r>
        <w:rPr>
          <w:rFonts w:ascii="arial" w:eastAsia="arial" w:hAnsi="arial" w:cs="arial"/>
          <w:color w:val="000000"/>
          <w:sz w:val="20"/>
          <w:lang w:val="en-US" w:eastAsia="en-US" w:bidi="ar-SA"/>
        </w:rPr>
        <w:t xml:space="preserve"> - or in the alternative with reckless indifference to the possibility - that those decisions were likely to cause damages to Greengen";</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did cause damage to Greengen;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decision-makers "owed a duty to Greengen to act </w:t>
      </w:r>
      <w:r>
        <w:rPr>
          <w:rFonts w:ascii="arial" w:eastAsia="arial" w:hAnsi="arial" w:cs="arial"/>
          <w:color w:val="000000"/>
          <w:sz w:val="20"/>
          <w:u w:val="single"/>
          <w:lang w:val="en-US" w:eastAsia="en-US" w:bidi="ar-SA"/>
        </w:rPr>
        <w:t>lawfully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lawfulness of the decisions to deny Crown land tenure and a water licence, and the propriety of the process adhered to, is front and centre in both the petition and the civil claim. In this sense, what has occurred here is not dissimilar to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There, the appellant alleged that the Superintendent of Pensions of British Columbia acted unlawfully by "failing to direct that pension funds be distributed in accordance with priority provisions in the [applicable] pension plan":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at para. 2. The appellant did not seek judicial review of the Superintendent's decision; instead, he initiated a civil action against the Superintendent (as well as others) for unlawfully failing to apply the provisions he was supposed to: at para. 2. The notice of civil claim alleged misfeasance in a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conspiracy against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 Chambers judge dismissed the civil action, finding that it amounted to an abuse of process. This finding was predicated, at least in part, on the appellant's failure to seek a remedy through judicial review: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Court of Appeal upheld the determination, per Levine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My analysis of the appellant's claims ... leads me to conclude that they do not raise any distinct or separate justiciable issues from those that would be addressed on judicial review. Though he claims a remedy, damages, that would be unavailable if he were successful on judicial review, the essential nature of his claims is an attack on the lawfulness of the Superintendent's decision, raising issues of jurisdiction, limits of statutory authority, process, and fairness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By contrast,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 action claimed compensation for expenses TeleZone incurred in applying for a telecommunications licence, alleging the Minister breached contractual and equitable duties or a duty of care in the licensing process.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2012 BCCA 63</w:t>
        </w:r>
      </w:hyperlink>
      <w:r>
        <w:rPr>
          <w:rFonts w:ascii="arial" w:eastAsia="arial" w:hAnsi="arial" w:cs="arial"/>
          <w:color w:val="000000"/>
          <w:sz w:val="20"/>
          <w:lang w:val="en-US" w:eastAsia="en-US" w:bidi="ar-SA"/>
        </w:rPr>
        <w:t>], the plaintiff claimed damages for the loss of his business, alleging attempted extortion by a CRA employee in the course of the assessment process. The allegations were in respect of matters separate from the ultimate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this case, the appellant claims compensation for allegedly unlawful conduct of the Superintendent in determining jurisdiction and process. As I have previously stated, these are matters central to the Superintendent's lawful exercise of his powers and to the Court's supervisory jurisdiction by judicial review. In the language of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78), this is "a claim for judicial review with only a thin pretence to a private wrong".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 comparison between Greengen's petition and the civil claim leads to the same conclusion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"essential nature of [Greengen's claim against the Province] is an attack on the lawfulness" of the decisions made by the ILMB and the Regional Water Manager: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at para. 77. The civil action alleges that the decisions were incorrect, invalid,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made for an improper purpose. Greengen challenges the merits of both decisions, as well as the fairness of the process by which they were rendered. In my view, these are precisely the kind of issues addressed through the process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conclusion I have reached on this point is also consistent with the approach taken by Wedge J. in </w:t>
      </w:r>
      <w:r>
        <w:rPr>
          <w:rFonts w:ascii="arial" w:eastAsia="arial" w:hAnsi="arial" w:cs="arial"/>
          <w:i/>
          <w:color w:val="000000"/>
          <w:sz w:val="20"/>
          <w:lang w:val="en-US" w:eastAsia="en-US" w:bidi="ar-SA"/>
        </w:rPr>
        <w:t>Gemex Developments Corp. v. City of Coquitlam et al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xml:space="preserve">. Like the case at bar,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arose out of ministerial decision-making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that case, the Ministry of Environment, Lands and Parks issued an order to remove a concrete wall that extended into a channel of the Coquitlam River. The order was issued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 plaintiff appealed the order to the Comptroller of Water Rights as then provided by statute. Among other things, the appeal alleged that the order was issued in bad faith and on improper grounds: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at para. 7. Under the legislative scheme that existed at the time, the decision of the Comptroller, once issued, could be appealed further to the Environmental Appeal Board: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plaintiff commenced a civil action against the provincial government before the Comptroller rendered a decision. The civil claim alleged there was no authority to issue the order; it was based on irrelevant considerations; and, the claim asserted that Ministry employees carried out an "inadequate investigation before issuing the order":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At the plaintiff's request, the Comptroller stayed the proceeding before him to await the outcome of the civil action. The defendant Ministry brought an application to this Court, asking that it strike the civil claim on grounds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Applying what is now Rule 9-5(1)(d), Wedge J. agreed. She compared the notice of appeal to the Comptroller with the civil claim, which the plaintiff acknowledged raised "substantially" similar complaints. The "allegations on which it [relied] to found the tort of malfeasance of public office [were] identical to those made in its appeal to the Comptroller":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at para. 30. The "primary remedies" sought in the civil action were "administrative in nature":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at para. 31. Justice Wedge held that the civil action amounted to an impermissible collateral attack of the ministerial order: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at para. 32. The claim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 appreciate that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pre-dates the Supreme Court's decision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as well as the Court of Appeal's decision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both of which acknowledge that depending on the circumstances, a civil claim for damages arising out of alleged misconduct by a statutory decision-maker may proceed even where the plaintiff has not sought judicial review. In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the plaintiff's civil claim sought administrative remedies. In the case at bar, Greengen's claim is focused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remains instructive. Unlike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it is a case in which the plaintiff pursued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judicial review and a civil action, and then sought to have the former held in abeyance while the latter made its way through the court system. Justice Wedge did a comparative analysis between the two proceedings and concluded that the civil action "[struck] at the heart of the jurisdiction of the Comptroller and the [Environmental Appeal Board] to rule on the validity of the order issued by the Minister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at para. 35. It was on this basis that she concluded the civil action was impermissible. The same can be said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note that post-</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this Court continues to guard against civil actions that, on their face, are predominantly focused on the lawfulness of ministerial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decision reached by Harvey J. in </w:t>
      </w:r>
      <w:r>
        <w:rPr>
          <w:rFonts w:ascii="arial" w:eastAsia="arial" w:hAnsi="arial" w:cs="arial"/>
          <w:i/>
          <w:color w:val="000000"/>
          <w:sz w:val="20"/>
          <w:lang w:val="en-US" w:eastAsia="en-US" w:bidi="ar-SA"/>
        </w:rPr>
        <w:t>Gulf Coast Materials Ltd. v. British Columbia (Ministry of Jobs, Tourism and Skills Training)</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2016 BCSC 980</w:t>
        </w:r>
      </w:hyperlink>
      <w:r>
        <w:rPr>
          <w:rFonts w:ascii="arial" w:eastAsia="arial" w:hAnsi="arial" w:cs="arial"/>
          <w:color w:val="000000"/>
          <w:sz w:val="20"/>
          <w:lang w:val="en-US" w:eastAsia="en-US" w:bidi="ar-SA"/>
        </w:rPr>
        <w:t>, provides a recent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There, the defendants made various determinations against the corporate plaintiff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xml:space="preserve">. Civil judgments were registered against the plaintiff's property and execution proceedings commenced. The plaintiff did not seek judicial review of the findings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it filed a civil suit for misfeasance in a public office, alleging that the defendants "performed their statutory mandate with "reckless indifference", thus failing to treat the plaintiff fairly during their "investigations and determinations of the matter"": </w:t>
      </w:r>
      <w:r>
        <w:rPr>
          <w:rFonts w:ascii="arial" w:eastAsia="arial" w:hAnsi="arial" w:cs="arial"/>
          <w:i/>
          <w:color w:val="000000"/>
          <w:sz w:val="20"/>
          <w:lang w:val="en-US" w:eastAsia="en-US" w:bidi="ar-SA"/>
        </w:rPr>
        <w:t>Gulf Coast</w:t>
      </w:r>
      <w:r>
        <w:rPr>
          <w:rFonts w:ascii="arial" w:eastAsia="arial" w:hAnsi="arial" w:cs="arial"/>
          <w:color w:val="000000"/>
          <w:sz w:val="20"/>
          <w:lang w:val="en-US" w:eastAsia="en-US" w:bidi="ar-SA"/>
        </w:rPr>
        <w:t>,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Citing the doctrine of collateral attack, Harvey J. struck the claim as an abuse of process under Rule 9-5(1)(d). The plaintiff "pleaded no material facts distinct from the history of the proceedings before the [Employment Standards Tribunal] to support the allegation of misfeasance in public office": </w:t>
      </w:r>
      <w:r>
        <w:rPr>
          <w:rFonts w:ascii="arial" w:eastAsia="arial" w:hAnsi="arial" w:cs="arial"/>
          <w:i/>
          <w:color w:val="000000"/>
          <w:sz w:val="20"/>
          <w:lang w:val="en-US" w:eastAsia="en-US" w:bidi="ar-SA"/>
        </w:rPr>
        <w:t>Gulf Coast</w:t>
      </w:r>
      <w:r>
        <w:rPr>
          <w:rFonts w:ascii="arial" w:eastAsia="arial" w:hAnsi="arial" w:cs="arial"/>
          <w:color w:val="000000"/>
          <w:sz w:val="20"/>
          <w:lang w:val="en-US" w:eastAsia="en-US" w:bidi="ar-SA"/>
        </w:rPr>
        <w:t xml:space="preserve">, at para. 51. The civil action "directly challenge[d] the [Employment Standards] proceedings, how they were made, and the overall result ...": </w:t>
      </w:r>
      <w:r>
        <w:rPr>
          <w:rFonts w:ascii="arial" w:eastAsia="arial" w:hAnsi="arial" w:cs="arial"/>
          <w:i/>
          <w:color w:val="000000"/>
          <w:sz w:val="20"/>
          <w:lang w:val="en-US" w:eastAsia="en-US" w:bidi="ar-SA"/>
        </w:rPr>
        <w:t>Gulf Coast</w:t>
      </w:r>
      <w:r>
        <w:rPr>
          <w:rFonts w:ascii="arial" w:eastAsia="arial" w:hAnsi="arial" w:cs="arial"/>
          <w:color w:val="000000"/>
          <w:sz w:val="20"/>
          <w:lang w:val="en-US" w:eastAsia="en-US" w:bidi="ar-SA"/>
        </w:rPr>
        <w:t xml:space="preserve">, at para. 51. According to Harvey J., "If the plaintiff was not satisfied with the outcome of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proceedings and the manner in which they were conducted, the proper redress was by way of judicial review, not civil action":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find these comments apposite. The factual foundation relied upon by Greengen in support of its civil claim against the Province is essentially the "history of the proceedings" before the ILMB and the Regional Water Manager. The claim "directly challenges" these proceedings and their "overall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On the basis of the collateral attack doctrine, I am persuaded that Greengen's civil action against the Province should not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However, rather than strike the claim in its entirety, I am satisfied in the circumstances of this case that it is appropriate to stay the civil action (and hold it in abeyance), until completion of the judicial review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Environmental Appeal Board dismissed Greengen's appeal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based on a preliminary objection. As such, there has not yet been a full determination on the merits of the various invalidity arguments raised by Greengen, including the challenge to the lawfulness of the decision-making process. In light of this unique feature, the possibility exists that depending on the outcome of the petition, and more particularly, the nature of any order made by this Court, there may remain a subsisting basis on which Greengen is in a position to bring itself within the allowable parameters for distinct proceedings established by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I do not know whether such will be the case; however, I am satisfied it is in the interests of justice to leave this possibility open. The Province will, of course, be at liberty to bring any applications it considers appropriate should the civil claim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Rule 9-5(1) explicitly contemplates the remedy of a stay in response to an allegation of abuse of process, rather than striking the pleading: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2012 BCSC 878</w:t>
        </w:r>
      </w:hyperlink>
      <w:r>
        <w:rPr>
          <w:rFonts w:ascii="arial" w:eastAsia="arial" w:hAnsi="arial" w:cs="arial"/>
          <w:color w:val="000000"/>
          <w:sz w:val="20"/>
          <w:lang w:val="en-US" w:eastAsia="en-US" w:bidi="ar-SA"/>
        </w:rPr>
        <w:t xml:space="preserve">, at para. 229. As noted in </w:t>
      </w:r>
      <w:r>
        <w:rPr>
          <w:rFonts w:ascii="arial" w:eastAsia="arial" w:hAnsi="arial" w:cs="arial"/>
          <w:i/>
          <w:color w:val="000000"/>
          <w:sz w:val="20"/>
          <w:lang w:val="en-US" w:eastAsia="en-US" w:bidi="ar-SA"/>
        </w:rPr>
        <w:t>Concord Kingsway Project Limited Partnership v. Ivanhoe Cambridge II Inc.</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2017 BCSC 282</w:t>
        </w:r>
      </w:hyperlink>
      <w:r>
        <w:rPr>
          <w:rFonts w:ascii="arial" w:eastAsia="arial" w:hAnsi="arial" w:cs="arial"/>
          <w:color w:val="000000"/>
          <w:sz w:val="20"/>
          <w:lang w:val="en-US" w:eastAsia="en-US" w:bidi="ar-SA"/>
        </w:rPr>
        <w:t>, a stay is a useful tool in avoiding the pitfalls of parallel or "mirror image" proceedings: at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argument, counsel for the plaintiff suggested that if this Court determined a stay is appropriate, it should be the petition that is stayed while awaiting completion of the civil action, rather than the other way around. This way, the plaintiff is not deprived of the "discovery" rights that attach to a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disagree. First, the petition is not before me and I have no jurisdiction to enter a stay in that proceeding. Second, and more importantly, it is my view that giving priority to the civil claim rather than the petition would defeat the rationale underlying application of the collateral attack doctrine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My conclusion that the civil claim within the current context amounts to a collateral attack (and therefore an abuse of process) is not based on the fact of two proceedings; rather, it is because in its essence, the civil action seeks to challenge the lawfulness of decisions made by the relevant statutory decision-makers, including the fairness of the process by which their conclusions were reached. These are questions that are more appropriately decided by way of judicial review, within the context of the deferential analytic framework that has been jurisprudentially tailored for proceedings of this nature in light of the recognized expertise of statutory decision-makers, and administrative tribunals.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Summary Dismissal on Grounds the Claim is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Like SN, the Province applies to dismiss Greengen's claim against it under Rule 9-6(5)(a) on grounds that it was filed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governing legal principles for summary judgment on the basis of a limitation defence are addressed in paragraphs [79] to [83] above. I will not repeat them. Suffice it to say that to dismiss Greengen's claim on this basis, I must be satisfied there is "no genuine issue of material fact requiring trial":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Consistent with the approach I took earlier, if Greengen discovered its claim against the Province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June 1, 2013,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prescribes the limitation period and Greengen had six years from the date of discovery to file its notice of civil claim: </w:t>
      </w:r>
      <w:r>
        <w:rPr>
          <w:rFonts w:ascii="arial" w:eastAsia="arial" w:hAnsi="arial" w:cs="arial"/>
          <w:i/>
          <w:color w:val="000000"/>
          <w:sz w:val="20"/>
          <w:lang w:val="en-US" w:eastAsia="en-US" w:bidi="ar-SA"/>
        </w:rPr>
        <w:t>Moses v. Lower Nicola Indian Brand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2015 BCCA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If Greengen discovered its claim against the Province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June 1, 2013,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prescribes the limitation period and Greengen had two years from the date of discovery to file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Relying on much of the same material as SN, the Province says the test for discoverability was met once Greengen was told that its applications for land tenure and a water licence were denied. As a result, the latest date on which the plaintiff could file its civil claim was August 19, 2015. It did not file until March 17, 2016, over six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essential elements of misfeasance in a public office are set out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Greengen concedes in its written submissions that by August 2009, it knew of "sufficient facts ... to believe that the decisions [made on behalf of the provincial government] were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However, in its filed response to the Province's application to strike, and before me in argument, Greengen submits that it did not discover the facts sufficient to establish all elements of the tort it alleges against the Province until it received the Water Records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particular, Greengen says it did not know until the Water Records that the impugned statutory decision-makers </w:t>
      </w:r>
      <w:r>
        <w:rPr>
          <w:rFonts w:ascii="arial" w:eastAsia="arial" w:hAnsi="arial" w:cs="arial"/>
          <w:i/>
          <w:color w:val="000000"/>
          <w:sz w:val="20"/>
          <w:lang w:val="en-US" w:eastAsia="en-US" w:bidi="ar-SA"/>
        </w:rPr>
        <w:t>knew</w:t>
      </w:r>
      <w:r>
        <w:rPr>
          <w:rFonts w:ascii="arial" w:eastAsia="arial" w:hAnsi="arial" w:cs="arial"/>
          <w:color w:val="000000"/>
          <w:sz w:val="20"/>
          <w:lang w:val="en-US" w:eastAsia="en-US" w:bidi="ar-SA"/>
        </w:rPr>
        <w:t xml:space="preserve"> their conduct was unlawful, presumably on the basis that they denied the plaintiff's applications even though aware of the fact that part of the reason for doing so was not adequately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support of this position, Greengen points to a number of unredacted documents that it received as part of the Water Records. These include (but are not limited to):</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email from Alec Drysdale to a representative for SN, dated July 16, 2008, in which Mr. Drysdale advised the representative that the ILMB considered "the Squamish Nation's position [to not discuss the proposed power project any further] </w:t>
      </w:r>
      <w:r>
        <w:rPr>
          <w:rFonts w:ascii="arial" w:eastAsia="arial" w:hAnsi="arial" w:cs="arial"/>
          <w:color w:val="000000"/>
          <w:sz w:val="20"/>
          <w:u w:val="single"/>
          <w:lang w:val="en-US" w:eastAsia="en-US" w:bidi="ar-SA"/>
        </w:rPr>
        <w:t>unreasonable and not in keeping with the Courts direction on reciprocal obligations to meet and consult</w:t>
      </w:r>
      <w:r>
        <w:rPr>
          <w:rFonts w:ascii="arial" w:eastAsia="arial" w:hAnsi="arial" w:cs="arial"/>
          <w:color w:val="000000"/>
          <w:sz w:val="20"/>
          <w:lang w:val="en-US" w:eastAsia="en-US" w:bidi="ar-SA"/>
        </w:rPr>
        <w:t>"; and,</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from Alex Drysdale dated March 20, 2009, in which Mr. Drysdale notes that the ILMB had sent three letters to SN requesting "details on how the [Fries Creek] project impacts their traditional interest", and the correspondence received in response provided "</w:t>
      </w:r>
      <w:r>
        <w:rPr>
          <w:rFonts w:ascii="arial" w:eastAsia="arial" w:hAnsi="arial" w:cs="arial"/>
          <w:color w:val="000000"/>
          <w:sz w:val="20"/>
          <w:u w:val="single"/>
          <w:lang w:val="en-US" w:eastAsia="en-US" w:bidi="ar-SA"/>
        </w:rPr>
        <w:t>no supporting evidence</w:t>
      </w:r>
      <w:r>
        <w:rPr>
          <w:rFonts w:ascii="arial" w:eastAsia="arial" w:hAnsi="arial" w:cs="arial"/>
          <w:color w:val="000000"/>
          <w:sz w:val="20"/>
          <w:lang w:val="en-US" w:eastAsia="en-US" w:bidi="ar-SA"/>
        </w:rPr>
        <w:t>. It is simply "we oppose ... we oppose ... we oppose".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If this Court does not accept that the Water Records revealed facts that were otherwise not within Greengen's knowledge, the plaintiff says it did not discover its cause of action against the Province until it received the FIPPA Records in March 2010. These Records included (but were not limited to):</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from Alec Drysdale dated August 25, 2008, indicating that the ILMB was "comfortable approving the [application for Crown land] tenure", even though by then it was aware of SN's assertion of spiritual bathing at Fries Creek;</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the draft letters to Terry Sonderhoff, dated December 9, 2008 and December 16, 2008, respectively, denying Crown land tenure and approval for the power project, which Greengen says are different than the final letters received in August 2009;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second of these letters, Alex Drysdale stated that he "would have liked to </w:t>
      </w:r>
      <w:r>
        <w:rPr>
          <w:rFonts w:ascii="arial" w:eastAsia="arial" w:hAnsi="arial" w:cs="arial"/>
          <w:color w:val="000000"/>
          <w:sz w:val="20"/>
          <w:u w:val="single"/>
          <w:lang w:val="en-US" w:eastAsia="en-US" w:bidi="ar-SA"/>
        </w:rPr>
        <w:t>have had more detailed information from the Squamish First Nation around their use of Fries Creek within and outside of the cultural site. Unfortunately, that information was not forthcoming</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Under either of these two discoverability scenarios, Greengen says the notice of civil claim was filed within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At paragraph [121] above, I made several findings of fact outlining what Greengen knew, or had concluded, by August 2009 about the process surrounding its applications for land tenure and a water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light of these findings, I do not consider Greengen's argument on the significance of the FIPPA and Water Records to be particularly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It is readily apparent from the Application Record that by August 18, 2009, Greengen had already concluded based on facts known to it that SN considered itself under no obligation to substantiate its assertion of spiritual bathing practices; SN had not provided detailed information in response to ILMB requests for same; and, that SN's stated opposition to the proposed power project was general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Indeed, in an email dated June 20, 2008, a lawyer representing the plaintiff informed the ILMB that based on Greengen's understanding of the consultation that occurred during the application process, and the information received by the ILMB, there were "no further aboriginal interests" that might be impacted by the Fries Creek project, and that any "further general opposition or concerns by the SFN would result in unreasonable delay in the process </w:t>
      </w:r>
      <w:r>
        <w:rPr>
          <w:rFonts w:ascii="arial" w:eastAsia="arial" w:hAnsi="arial" w:cs="arial"/>
          <w:color w:val="000000"/>
          <w:sz w:val="20"/>
          <w:u w:val="single"/>
          <w:lang w:val="en-US" w:eastAsia="en-US" w:bidi="ar-SA"/>
        </w:rPr>
        <w:t>for no principled reason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light of this assertion, it is difficult to understand how Greengen did not have a sufficient factual basis from which to initiate its cause of action against the Province once it received word that land tenure, a water licence and approval of the proposed power project had been denied, at least in part, on the basis that SN asserted spiritual bathing practices in connection with Fries Creek. Greengen had already decided by June 2008 that a denial on this basis would be "unprincipled" and advertently the product of improper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However, at the same time, I cannot say based on the material before me that it is "plain and obvious" there is "no chance of success" on the claim against the Province because of a limitation defence: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at para. 10. Counsel for the Province acknowledged in argument that this was an easier argument for SN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tort alleged against the Province is grounded in a complex set of facts that, in my view, is far more nuanced than the claim against SN. The interaction between Greengen and the provincial government in respect of the proposed power project spanned approximately five years before the denials were issued. It is apparent from the Application Record that over this period, there was a considerable amount of communication between the parties, including correspondence, in-person meetings and the exchange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It is also apparent that Greengen and the Province have very different perspectives on what may have been said during these meetings; the commitments made; the extent of the information available to Greengen; and the degree to which Greengen had access to additional information before and after August 2009. In my view, deciding the issue of discoverability in the absence of an ability to test the credibility and reliability of the positions put forward by the parties is difficult, if not impossible on the Application Record alone. Instead, assessing the merits of the limitation defence vis-à-vis the Province is a matter best left for trial, should one proceed after resolution of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the Supreme Court made clear that summary judgment should only be given in circumstances where the material available on the motion "gives the judge confidence that she can find the necessary facts and apply the relevant legal principles so as to resolve the dispute": at para. 51. For the reasons provided, I have not reached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Security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light of my decision to stay the notice of civil claim against the Province pending the results of the judicial review, it is not necessary for me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Whether an order for security of costs is warranted can await re-invigoration of the civil claim after completion of the judicial review proceeding, should this occur. As such, this aspect of the Province's application is adjourned generally.</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 the Province has been substantially successful in its application and the civil action has been stayed, costs are awarded to the Province on the application in any event of the cause pursuant to Rule 14-1(9), assessed in accordance with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For the reasons provided, I make the following orders:</w:t>
      </w:r>
      <w:r>
        <w:rPr>
          <w:rFonts w:ascii="arial" w:eastAsia="arial" w:hAnsi="arial" w:cs="arial"/>
          <w:sz w:val="20"/>
          <w:lang w:val="en-US" w:eastAsia="en-US" w:bidi="ar-SA"/>
        </w:rPr>
        <w:cr/>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dismissal is granted in favour of Squamish Nation and Chief Williams on grounds that the notice of civil claim against them (as amended) is statute-barred;</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Nation and Chief Williams are awarded costs in the action, as assessed on Scale B;</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requests for relief in the application brought by Squamish Nation and Chief Williams are dismissed;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(as amended) is stayed against Her Majesty the Queen in Right of the Province of British Columbia (Ministry of Forests, Lands and Natural Resource Operations; Regional Water Manager; Ministry of Environment), pending completion of the judicial review proceedings arising out of the plaintiff's challenge to the decision of the Environmental Appeal Board;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of Her Majesty the Queen in Right of the Province of British Columbia to strike the notice of civil claim (as amended) for non-compliance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dismissed;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Her Majesty the Queen in Right of the Province of British Columbia to strike the notice of civil claim (as amended) on grounds that it is statute-barred is dismissed, without prejudice to raise a limitation defence should the notice of civil claim proceed to trial;</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the Province of British Columbia is awarded costs on this application in any event of the cause, assessed on Scale B; and,</w:t>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requests for relief in the application by Her Majesty the Queen in Right of the Province of British Columbia are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DeWITT-VAN OOSTEN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Hadland v. Thompson, [2002] B.C.J. No. 540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22 and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S057900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490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Crystal Ann Hadland, plaintiff, and Susan Thompson,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7"/>
      <w:bookmarkEnd w:id="119"/>
      <w:r>
        <w:rPr>
          <w:rFonts w:ascii="arial" w:eastAsia="arial" w:hAnsi="arial" w:cs="arial"/>
          <w:b/>
          <w:color w:val="000000"/>
          <w:sz w:val="20"/>
          <w:lang w:val="en-US" w:eastAsia="en-US" w:bidi="ar-SA"/>
        </w:rPr>
        <w:t>Damages — General damages — General damages for personal injury — Impairment of earning capacity — Future care and treatment — Aggravation of injury — Limits of compensatory damages — Intervening cause — Mitigation.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7"/>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Hadland for damages for personal injuries sustained in a single vehicle accident. Hadland was a passenger in a vehicle owned and operated by the defendant, Thompson. Liability was admitted. Hadland suffered compression fractures and has experienced ongoing mid and low back problems, depression and anxiety attacks since the accident. She was no longer able to pursue her dream career as a hairdresser and retrained for another occupation. Her social and athletic life was no longer as active as it had been before the accident. Hadland had to quit her part-time job for a period following the accident. Thompson argued that Hadland had failed to mitigate her damages in that her lower back problems would be not be as acute if she had followed the advice of the medical professionals regarding exercise and the use of a personal trainer. Thompson also argued that the psychological problems were the result of stress in Hadland's personal relationships and her experimentation with illicit drugs.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4"/>
            <w:bookmarkEnd w:id="12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at $45,000. Past wage loss was assessed at $5,000. Loss of future earning capacity was assessed at $30,000. Cost of future care was assessed at $2,000. Special damages for retraining was awarded in the amount of $6,084. Hadland's use of illicit drugs exacerbated her symptoms and fundamentally altered her original position after the accident. The damages award was reduced to take into account the independent intervening events. There was no failure to mitigate damages. Hadland made a reasonable and sincere effort to exercise.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 McNeney, for the plaintiff. M.R. Slay,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5"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MARTINSON J."/>
            <w:bookmarkEnd w:id="124"/>
            <w:r>
              <w:rPr>
                <w:rFonts w:ascii="arial" w:eastAsia="arial" w:hAnsi="arial" w:cs="arial"/>
                <w:b/>
                <w:color w:val="000000"/>
                <w:sz w:val="30"/>
                <w:lang w:val="en-US" w:eastAsia="en-US" w:bidi="ar-SA"/>
              </w:rPr>
              <w:t>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Crystal Hadland asks for damages for personal injury she sustained as a result of being involved in a single vehicle motor vehicle accident on October 3, 1998 on Highway 10 in Surrey, British Columbia. She was a back seat belted passenger in a vehicle owned and operated by the defendant, Susan Thompson. Ms. Thompson was travelling about 80 kilometres per hour when she lost control of the vehicle and hit two cement abutments. The vehicle went into a ditch. An ambulance crew attended and transported Ms. Hadland to the Surrey Memorial Hospital. She was released the same day and told to follow-up with her family physician, Dr.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 but the amount of any award (quantum) is in issue. The defendant says that Ms. Hadland failed to mitigate her damages by not pursuing exercise programs and not using a personal trainer. The defendant also says that the anxiety and panic attacks experienced by Ms. Hadland, which she says resulted from the accident, are not causally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Hadland gave evidence, as did her mother. She presented the evidence of Dr. Rivers, Dr. van Rijn (a physical medicine and rehabilitation specialist), Dr. Dommisse (an orthopaedic surgeon), Dr. Oduwole (a psychiatrist), Dr. Karateew (a radiologist), Dr. Pettit (an occupational health physician) and Mr. Trainor (a vocational and rehabilitation consultant). There was no request for cross-examination of Dr. Pettit, Mr. Trainor, or Dr. Karateew. It was agreed for practical reasons that Dr. Dommisse and Dr. Rivers would not be cross-examined. Dr. van Rijn and Dr. Oduwole were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evidence presented by the defence was that of Dr. Boyle, an orthopaedic surgeon who conducted an independent medical examination. Rather, the defence was developed primarily through cross-examination and an analysis of the evidence presented by Ms. Hadland.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HADLAND'S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Hadland has had ongoing mid and low back problems as well as some psychological difficulties since the accident. Dr. Rivers referred her to Dr. Oduwole, a psychiatrist, in the spring of 2000. Ms. Hadland says that she has suffered serious injury causing her back pain, pain that is likely to continue. As a result she can no longer pursue her career as a hairstylist, the career of her dreams. She planned to open her own shop. She had an active life style before the accident and that has been affected significantly. She no longer participates in activities such as hiking, roller blading, water skiing and the like. Her social life was much more active before the accident. Most significantly, she has changed from a happy, relatively carefree person who enjoyed life, to a person who is suffering from depression, and anxiety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 mother, Paulette Hadland, confirmed that the accident has had a significant impact on her daughter's physical and mental health. Her mother described her as a changed person, going from a relatively carefree and happy one to a sad, depressed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Hadland argues that the medical evidence called on her behalf supports that view. She says she is a credible witness and there is no reason to reject her subjective reports of pain. She notes that even the defence expert, Dr. Boyle, an orthopaedic surgeon, says that he did not think that she is a malingerer.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she should be believed with respect to her subjective symptoms, there are what can be described as objective symptoms as well. Range of motion tests can be viewed as objective findings, as can tenderness to palpation. She has consistently reacted to physical palpation of the thoracolumbar spine. There were at times restrictions in her range of motion observed by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Oduwole, the psychiatrist called on her behalf, says that she suffers from panic attacks and depression, and that this was caused by the accident. He calls her depression reactive depression. The defence has not called its own psychiatric evidence to support its view on the issue of causation. Dr. Boyle, she argues, presented as an advocate for the defendant, rather than as a neutral expert attempting to assist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Hadland argues that the defendant has not proven a failure to mitigate. She says she did not deliberately avoid exercising. Ms. Hadland agrees that she did not obtain a personal trainer. She had "a lot on her plate", including attending her courses. She has also had problems coping due to her emotional difficulties. Perfection cannot be expected. She also said that she could not afford to pay for a personal trainer and is an adult who should not be required to borrow from her parents, or go into debt to obtain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 CLAIMED BY MS. HADLAND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Hadland asks for non-pecuniary damages in the range of $70,000. She suggests that the award for past wage loss should be as high as $44,900, taking into account her loss as a result of her part-time job at Shoppers Drug Mart, the time she was off work from June to August 2000 and the time when she was forced to work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Hadland says that she is entitled to an award for loss of future earning capacity in the range of $45,000 to $70,000, given the evidence of the medical professionals called on her behalf. The new career for which she is retraining will allow her to earn more than she would have earned had she continued in her career as a hairstylist. However, there has been a loss of capacity based on her partial permanent lower back disability as well as her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Hadland asks for $2,500 for costs of future care. This includes back therapy costs, pain medication and treatment for her psychological difficulties. She also asked for $6,084.20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unlike some cases, the defendant, Ms. Thompson, does not challenge the credibility of the evidence of Ms. Hadland or that of her mother. Rather, she argues that while Ms. Hadland was in fact injured in the accident, her injuries, other than her lower back problems, resolved quickly. Her lower back problems are treatable and there is much room for optimism. The symptoms she experiences are by and large subjective. Her "range of motion" is normal and has been for some time. While she may have had some problems with depression after the accident, the panic attacks and anxiety attacks that started in the year 2000 are not causally related to the accident. Rather, they are related to stress in her personal relationships and the taking of cocaine and ecstasy.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also alleges a failure to mitigate. She says that Ms. Hadland failed to mitigate her damages in that her lower back problems would be better than they are now if she had followed the advice of the medical professionals. She also could have continued in her career as a hairstylist.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says that Ms. Hadland has not followed the advice of the medical professionals she saw with respect to exercise generally, and a personal trainer in particular. The defendant says that the evidence of the professionals is that this would have helped her. While Ms. Hadland says she could not afford to pay for one, the defendant argues that her parents could and would have loaned money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says that the range of non-pecuniary damages is $20,000 to $35,000. The defendant agrees that there should be some compensation for past wage loss. The differences in approach relate to how long Ms. Hadland would have continued to work at Shoppers Drug Mart, a part-time job; how often she worked only four days a week instead of five after the accident; and whether or not the time she took off from work in mid-2000 was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argues that Ms. Hadland's evidence supporting her past loss of income claim is sketchy. The defendant says that after the first three months following the accident Ms. Hadland would have been in a position to continue her work at Shoppers Drug Mart had she wished to do so. Her net loss would have been approximately $1,500. Any additional time off work as a result of her psychological difficulties is not attributable to the accident. If, however, the psychological difficulties are attributable to the accident, her average net monthly earnings in 1999 were $1,168. $3,500 would compensate her for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does not agree with Ms. Hadland that she is entitled to an award for loss of future earning capacity in the range of $45,000 to $70,000. Ms. Thompson says that Ms. Hadland could have continued in her career as a hairstylist. Ms. Thompson argues that there is much room for optimism with respect to both Ms. Hadland's physical and emotional difficulties. The defendant says that the case law supports a finding of between $5,000 and $10,000. The defendant says that costs of future care will be minimal. The defendant agrees with the special damages that Ms. Hadland asks for except for those relating to her career change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 AND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review some aspects of Ms. Hadland's education and employment history. I have not referred to all of the evidence in this respect, though I have considered all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Hadland described herself as an average student in highschool. She had part-time jobs from the age of 15. When she graduated from highschool Ms. Hadland enrolled in Kwantlen College to study criminology. After taking two courses she withdrew, as the courses did not appeal to her. At the time of the accident, Ms. Hadland was nearing the end of a 10 month hairstylist training course at the Langley Beauty Academy. She was also working about 16 hours a week at Shoppers Drug Mart as a clerk, earning $11.10 an hour. She had been doing so since November 1997. As a result of the accident, Ms. Hadland discontinued her employment at Shoppers Drug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1998 she began employment as a hairstylist at "Hairways" in Langley. She obtained this employment through a job placement program offered by the Langley Beauty Academy, and that job was arranged for before the accident. She was paid on a commission basis, being 50% of any haircut she did. There is some conflict in the evidence as to how often she worked only four days a week as opposed to five at that work place. She continued to work at Hairways through to the spring of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was off work from June through most of August 2000 based on medical advice. In late August 2000 she began working as a hairstylist in Langley at "Entre Nous". She was also paid on a commission basis of 50%. She could earn more, as they charged more for haircuts than at Hairways. She only worked four days a week because of the discomfort to her back as well as the stress that she was under. She continued to work there until September 2001, when she felt that due to her condition she could no longer work as a hairstylist and ceased her employment at Entre 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26, 2001 she began a five month program at Stenberg College. This program will lead to certification as a Community Support Worker # 3. She testified that she understands there is good job availability for her in this field. She expects that she will receive between $15.00 and $17.00 per hour as a community support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section provides only an overview of the expert evidence presented. I have, however, considered all of the expert evidence in reaching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Hadland saw Dr. Rivers, her family physician, shortly after the accident. She was diagnosed with a "back strain with soft tissue trauma". She continued to see Dr. Rivers on a regular basis over the next number of months. She saw a physiotherapist from October 18, 1998 to May 19, 1999 for treatment of her mid and low back pain. On January 14, 1999, at the request of Dr. Rivers, her lumbar and thoracic spine was x-rayed and the results revealed compression fractures of the vertebral bodies at T11, T12 and L1.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June 2000 medical legal report Dr. Rivers said that Ms. Hadland's main problem was anterior wedging of T11, T12 (described as D11 and D12) and L1. He felt that this was definitely a result of the motor vehicle accident. She also sustained soft tissue injury to her neck, lower back and left arm. These areas still cause her problems periodically, but the main problem is compression fractures. He said he hoped that with possible intervention at Fitness World on a one to one basis, she would be able to strengthen the muscles of her back and have less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April 2001 Dr. Rivers again said that it will take a long time for her to resolve this symptomatology with the advised exercise program. He did not know how long it would take. In his view, her work is "obviously affected by this continuous soreness" and she has a desire to change her occupation. He said he had advised her to have some massage therapy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June 10, 1999 Ms. Hadland saw Dr. Boyle, an orthopaedic surgeon, for an Independent Medical Examination. He took a history and did a thorough examination. He felt that she suffered myofascial strain of her cervical, thoracic and lumbar spine. He felt that she would be best served by a pro-active stretching and strengthening program to help her cervical, thoracic and lumbar spine. He was of the view that Ms. Hadland would not suffer any further disability and he does not feel that her career as a hairdresser is in any way jeopardized long term by the residua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Dr. Boyle gave that opinion he had not seen the January 14, 1999 x-ray. In a follow-up report dated June 16, 1999 he said that examination did not change his earlier views. He indicated the importance of self-administered physiotherapy with stretching exercises being of optimum importance, and stressed that she continue to carry these out on a "thrice daily" basis indefinitely. He concluded by saying that the likelihood of progression of deformity over time is very remote. The likelihood of developing late degenerative changes or neurological impairment is equally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Dr. Boyle's follow-up report dated December 21, 2001, he says that his "impression" is that the wedge compression fractures that she suffered would have to be considered minor. He confirmed what he said in June 1999 about her period of disability. That is, he felt that she should have a disability for two to three months and thereafter no disability would be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van Rijn - July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Hadland saw Dr. van Rijn, a Physical Medicine and Rehabilitation specialist, on July 8, 1999. His opinion was that she should recover further with time. He also said that there was a small possibility that she might "go on to develop further lower back pain or regional pain due to symptomatic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saw Dr. van Rijn again on November 8, 2001. In his second report he was of the view that the longstanding nature of her complaints did not "bode well for full recovery". She will likely be left with permanent functional restrictions for some of her activities of daily living, for some recreational leisure activities requiring increasing physical demands, as well as for gainful employment in jobs involving moderate to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van Rijn also felt that her ability to access and participate in jobs requiring sedentary or light physical demands will depend upon the nature of the job. She is better suited to work where she has the opportunity to move about and change positions frequently and that does not involve any prolonged positioning of her upper body in static postures for any length of time. He notes that these changes would not have been expected of a person her age without the accident intervening.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Dr. van Rijn agreed in his cross-examination at trial that the compression fractures sustained by Ms. Hadland may be minor, he did not agree with the suggestion that therefore the impact would be minor. There was a significant volume loss from the compression fractures sustained by Ms. Hadland and he felt that the situation had to be put in the context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Dommisse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May 1999 Dr. Rivers referred Ms. Hadland to Dr. Dommisse, an orthopaedic surgeon, and she saw him in September 1999. Dr. Dommisse confirmed the diagnosis of a compression fracture of the spine and recommended an exercise program involving stretching and muscle strengthening. He predicted that her symptoms would slowly abate and that she was unlikely to develop progressive deformity or neurological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Hadland saw Dr. Dommisse again in October 2001. In his second report, dated October 26, 2001, Dr. Dommisse said that the overall prognosis is "slightly guarded". He confirmed his initial view that she may have attacks of pain of the thoracolumbar spine, but that the frequency and severity of these attacks will gradually subside. He anticipates that she may have some aggravation of her pain with stress and fatigue and possibly with weather changes. He does not anticipate that she will develop progressive deformity or neurological deficit in the thoraculumbar area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Dommisse says that she may require intermittent physiotherapy treatments for acute flare-ups of pain. She may require modality treatments for a short period and this should then be followed by mobilization, activation and strengthening of the thoraculumbar spine and trunk and abdominal muscles. He thinks she should maintain an appropriate exercise program independently and that she should maintain a normal level of activity in order to minimize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anticipates that she may have some increased thoracolumbar pain with prolonged standing in a slightly bent position that may be required as a hairstylist. As a result, she may not be able to work full-time in this capacity, though he thought that she probably would be able to manage hairstyling on a part-time basis. He felt that, ideally, her work environment should be such that it would allow for her to sit and stand intermittently and to allow some mobility. She should not be involved in heavy physical work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Oduwole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spring of 2000 Ms. Hadland experienced a severe anxiety and panic attack and in July was referred by Dr. Rivers to a psychiatrist, Dr. Oduwole. This was the reason she was, as noted above, off work from June through August. Dr. Oduwole prepared a report and was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report dated April 9, 2001, Dr. Oduwole says that Ms. Hadland suffered from chronic pain syndrome due to back injuries suffered during her accident and a mixed anxiety depressive disorder characterized by generalized anxiety with episodic panic attacks and mild agoraphobia. He says he also believes that she was suffering from depression characterized by sadness, a sense of hopelessness, a fear of never getting better and a loss of future 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says it appears from her history that she might have had a mild generalized disorder with panic episodes before her accident, but the condition seemed to have significantly worsened after the accident. It appears to him that her back injury is directly related to the accident and her anxiety seems to have been worsened by the accident. Her depression appears to have been a reaction to the accident. She might also have suffered from very mild post-traumatic stress disorder but this appeared to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Oduwole notes that Ms. Hadland had frequent dreams of driving off the road. He also notes that she complained of nightmares and bad dreams, but there were no particular dreams about the accident and no intrusive thoughts or preoccupation about the accident. In cross-examination he agreed that the nightmares of driving came up sometime after his initial meeting with her. He also agreed that she was having bad dreams about relationships and how she was interacting with others, including her then "boyfriend". This was a theme through his dealing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Oduwole says that the prognosis for the chronic back pain depends on whether Ms. Hadland recovers and how much she recovers from the back injury. He said that he thinks that the anxiety and panic attacks will likely continue off and on for some time. The prognosis for this is guarded. In his opinion, her depression is likely going to resolve as her back pain gets better and the panic attacks are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prescribed an anti-depressant and also counselled her. He also recommended that she attend a psychiatric day program to help her learn how to deal with panic attacks and the anxiety. She began the program, but did not continue it as she did not find it helpful. He agreed that he is not without optimism if she is able to improve her physical problems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Hadland admitted during her testimony that she tried cocaine and ecstasy between Christmas 1999 and April 2000. Dr. Oduwole testified in cross-examination that ecstasy was a methamphetamine and could have similar effects to that of cocaine. He agreed that the literature supports the conclusion that if someone suffers from anxiety, panic or depression these two drugs could exacerbate those problems. Dr. Oduwole agreed that the effects upon users could include confusion, depression, sleep problems and severe anxiety. These could arise sometimes weeks after taking the drug ecstasy. The drugs could also cause or exacerbate physical problems such as muscle tension, increased heart rate and blood pressure. He agreed that it was fair to say that the problems she reported that led him to diagnose panic and anxiety disorders could have arisen or been exacerbated by using cocaine or ecstasy.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Ms. Hadland raised the question of drug use during the re-examination of Dr. Oduwole. Dr. Oduwole was asked whether any of the questions asked of him in cross-examination changed his opinion with respect to Ms. Hadland's psychiatric problems. His answer was that he "thinks the only area is in terms of the emphasis on the drugs as being very significant." Dr. Oduwole agreed in re-direct examination that he knew about all the matters raised in cross-examination when he gave his initial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Karateew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April 2000 Ms. Hadland had a second x-ray. It, as well as the January 1999 x-ray, was reviewed by Dr. Karateew, a radiologist. He concluded that she had sustained compression fractures of T11, T12 and L1 in the six months before the January 1999 x-ray. He found a mild but progressive loss of height of the anterior aspects of T11, T12 and L1, indicating a compression of less than 10% in the height of T11 anteriorly, 10-15% for T12 and approximately 15-20% for L1.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both x-rays he noticed what he described as focal herniation of the nucleus pulpous, accounting for narrowing of the disc space of T11 and T12. Dr. van Rijn explained that this involves the rupture of the interior of the disc itself. Dr. Boyle was of the view that this could not be observed in the absence of an MRI. Dr. Boyle acknowledged that Dr. Karateew is a well-qualified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Karateew's only formal conclusion was that Ms. Hadland had sustained compression fractures of T11, T12 and L1 and that the fractures occurred within six months before January 14,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Viewpoint Medical Assessment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May 2001 Ms. Hadland attended Viewpoint Medical Assessment Services at the suggestion of her legal counsel for an "Independent Medical Evaluation". She saw Dr. Pettit, an occupational health physician, Mr. Bruce Hunt, a Physical Abilities Assessor, and Mr. Niall Trainor, a Vocational Rehabilitation Consultant. She saw Dr. Pettit again on October 12, 2001 and Mr. Trainor again on October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Pettit diagnosed persistent post-traumatic mechanical back pain, physical decondition and possible major depressive and panic disorders, though he defers to Dr. Oduwole on the latter point. Dr. Pettit notes that Ms. Hadland does meet the physical ability requirements for the occupation of hairdresser listed in the National Occupational Classification. However, in his opinion Ms. Hadland requires further active physical rehabilitation. He recommends that she enrol in a formal active rehabilitation program under the guidance of a personal trainer. The program should be directed towards back stabilization through strengthening of the core muscles of the pelvis along with the muscles of the low back and abdomen. She should also receive education and training in pain management, posture, general conditioning and self-management of any persistent residual pain. He felt that the maintenance of physical conditioning and back fitness should be a lifelong commitment.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also thought that Ms. Hadland requires ongoing psychiatric support and recommended a referral to a counselling psychologist. He felt that if Ms. Hadland's emotional well being is not addressed then the likelihood of successful physical rehabilitation is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Ms. Hadland's employability, Dr. Pettit is of the opinion that she is likely to continue to experience difficulties with certain of the physical demands associated with hairdressing (prolonged standing, static postures and repetitive use of the upper extremities) making it difficult for her to continue in this occupation on a long term basis. Further, it would be preferable to consider an alternative occupation that is better suited to her physical abilities and less likely to aggravate her symptoms. Certain activities such as lifting, carrying, pushing, pulling, bending, prolonged standing and sitting, static postures and repetitive movements of the upper extremities will need to be considered when selecting any alternative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prognosis, he says that though it is now three years since the accident she remains pain-limited with respect to certain vocational and recreational activities, as well as activities of daily living, and her psychiatric/psychological symptoms persist. This, in statistical terms, must be considered a significant negative predictive factor when considering the prognosis for a successful and sustained return to work. He also is of the opinion that with successful rehabilitation, support and encouragement, the prognosis for a successful return to work in an appropriate occupation is considered to be good. He also pointed out that, overall, Ms. Hadland's status had improved since his first assessment in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initial report Mr. Trainor identified a number of employment assets and barriers. The assets are: grade 12 education; one year of college training in criminology; specific skills training leading to certification as a hairstylist; part-time employment in entry level retail and clerical employment spanning five years; more than two years of full-time work experience as a hairstylist; manual skills pertaining to hairdressing; keen vocational interest in social science, healthcare, hairstyling, education and business management; general learning ability at the secondary school leaving level; verbal communication skills; written communication skills; social skills; motivation to implement an effective job search if required; and job search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barriers he identifies are: chronic pain; reduced physical capacity at the sedentary level with limitations for dynamic activity and prolonged static postures; depression; anxiety; low self-esteem; lack of self-confidence; significant gap in employment history secondary to mental health issues; career indecision secondary to perceived difficulty in current employment; and significant difficulty presenting herself in a positive light during a job interview secondary to employment barriers, particularly chronic pain and severely restricted physical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raises a number of concerns about her suitability for employment. First, compared to more able-bodied job applicants she will have difficulty with lifting and carrying even in the sedentary strength range, dynamic activities such as bending and stooping, and prolonged standing and prolonged sitting. Second, the diagnosis of depression may affect absenteeism, poor punctuality, and increased use of sick leave, and lowered productivity including lack of concentration, slowness and mistakes in work. Third, she will not be as versatile to an employer as she was before compared to more able-bodied applicants. Fourth, her needs for accommodation will adversely affect the work place. Fifth, compared to other able-bodied job applicants she is likely to disrupt work schedules with unanticipated and prolonged absences due to pain flare-ups. Sixth, she represents an increased insurance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affirmed these limitations in his report based on his September 2001 meeting with her. He notes that in his opinion there is virtually no occupation that will allow her to work competitively given her need for respite and accommodation. She will, in his view, inevitably require a sympathetic employer. He recommends a retraining program in the social sciences area and says it should cost about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evidence supports the conclusion that the motor vehicle accident materially contributed to Ms. Hadland's mental health difficulties and that the defendant is liable for them. The presence of other non-tortious contributing causes does not reduce the extent of the defendant's liability: Athey v. Leonati, </w:t>
      </w:r>
      <w:hyperlink r:id="rId5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If, however, there is an independent intervening event, apportionment of quantum is appropriate and damages should be reduced. As the Supreme Court of Canada explained in the Athey case, that is because the essential purpose and most basic principle of tort law is that a plaintiff must be placed in the position he or she would have been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Hadland is therefore not entitled to be placed in a better position than she would have been had the accident not occurred. I am satisfied, based on the evidence of Ms. Hadland and Dr. Oduwole, that Ms. Hadland's experimentation with illicit drugs did exacerbate her post-Christmas 1999 symptoms and therefore fundamentally altered her original position. I have therefore taken those independent intervening events into account and reduced the damages awarded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Ms. Thompson is not entitled to expect perfection from Ms. Hadland in pursuing rehabilitation; Ms. Hadland must be reasonable and sincere in her efforts to promote recovery: Savage v. Townsend, </w:t>
      </w:r>
      <w:hyperlink r:id="rId510" w:history="1">
        <w:r>
          <w:rPr>
            <w:rFonts w:ascii="arial" w:eastAsia="arial" w:hAnsi="arial" w:cs="arial"/>
            <w:i/>
            <w:color w:val="0077CC"/>
            <w:sz w:val="20"/>
            <w:u w:val="single"/>
            <w:shd w:val="clear" w:color="auto" w:fill="FFFFFF"/>
            <w:lang w:val="en-US" w:eastAsia="en-US" w:bidi="ar-SA"/>
          </w:rPr>
          <w:t>[1998] B.C.J. No. 2190</w:t>
        </w:r>
      </w:hyperlink>
      <w:r>
        <w:rPr>
          <w:rFonts w:ascii="arial" w:eastAsia="arial" w:hAnsi="arial" w:cs="arial"/>
          <w:color w:val="000000"/>
          <w:sz w:val="20"/>
          <w:lang w:val="en-US" w:eastAsia="en-US" w:bidi="ar-SA"/>
        </w:rPr>
        <w:t xml:space="preserve"> (S.C.)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Ms. Thompson has not proven a failure to mitigate. Ms. Hadland made a reasonable and sincere effort to exercise given the circumstances in which she found herself. I conclude that her reasons for not following up with a personal trainer relate, in part, to the psychological difficulties she suffered as a result of the accident. She also should not be expected to go into debt to follow a recovery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Ms. Hadland has suffered and continues to suffer back problems. They are such that she is unable to pursue a career in hairstyling, as she had planned to do. She suffers from depression that was caused totally as a result of the accident. This has made it difficult for her to enjoy the active lifestyle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was impressed by Ms. Hadland, found her to be a credible witness, and think that she "has what it takes" to do whatever needs to be done to address her difficulties. She needs to continue to have psychological counselling and she needs to do more to actively pursue a rehabilitation program. In my view, there is reason for optimism with respect to both her physical symptoms and her psychological difficulties if she does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also found her mother, Mrs. Hadland, to be a credible witness. I was impressed by the support that she and other family members have provided to Ms. Hadland.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reaching these conclusions I placed considerable weight on the expert evidence presented on behalf of Ms. Hadland. I note that the evidence of Dr. Pettit and Mr. Trainor was not challenged by way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not overlooked the evidence of Dr. Boyle. He is obviously a well-qualified orthopaedic surgeon. However, in the particular circumstances of this case, I conclude that he placed undue emphasis on the lack of objective signs of injury and not enough emphasis on the subjective problems reported by Ms. Hadland.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are some objective signs of injury in this case. They include difficulties at times with range of motion and tenderness to palpation. Ms. Hadland also suffered from compression fractures. Though the fractures may have been minor, the evidence supports the conclusion that the impact can be major.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have nonetheless kept in mind that in cases where there is little or no objective evidence of injury and when complaints of pain persist for long periods extending beyond the normal or usual recovery, a judge should be exceedingly careful in analyzing the evidence: Price v. Kostryba, </w:t>
      </w:r>
      <w:hyperlink r:id="rId51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I have also kept in mind the comments of the Court of Appeal in Maslen v. Rubenstein </w:t>
      </w:r>
      <w:hyperlink r:id="rId51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as explained in Yoshikawa v. Yu </w:t>
      </w:r>
      <w:hyperlink r:id="rId513"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making a decision about the quantum of damages, I have considered all of the circumstances, arguments and cases presented to me by the lawyers. Those cases provide helpful guidance. However, each case must be decided on its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assess non-pecuniary damages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assess past wage loss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Madam Justice Neilson helpfully summarized the principles that apply to an award for loss of future earning capacity in Gill v. Probert, </w:t>
      </w:r>
      <w:hyperlink r:id="rId514" w:history="1">
        <w:r>
          <w:rPr>
            <w:rFonts w:ascii="arial" w:eastAsia="arial" w:hAnsi="arial" w:cs="arial"/>
            <w:i/>
            <w:color w:val="0077CC"/>
            <w:sz w:val="20"/>
            <w:u w:val="single"/>
            <w:shd w:val="clear" w:color="auto" w:fill="FFFFFF"/>
            <w:lang w:val="en-US" w:eastAsia="en-US" w:bidi="ar-SA"/>
          </w:rPr>
          <w:t>[1999] B.C.J. No. 2436</w:t>
        </w:r>
      </w:hyperlink>
      <w:r>
        <w:rPr>
          <w:rFonts w:ascii="arial" w:eastAsia="arial" w:hAnsi="arial" w:cs="arial"/>
          <w:color w:val="000000"/>
          <w:sz w:val="20"/>
          <w:lang w:val="en-US" w:eastAsia="en-US" w:bidi="ar-SA"/>
        </w:rPr>
        <w:t xml:space="preserve"> (S.C.), aff'd </w:t>
      </w:r>
      <w:hyperlink r:id="rId515" w:history="1">
        <w:r>
          <w:rPr>
            <w:rFonts w:ascii="arial" w:eastAsia="arial" w:hAnsi="arial" w:cs="arial"/>
            <w:i/>
            <w:color w:val="0077CC"/>
            <w:sz w:val="20"/>
            <w:u w:val="single"/>
            <w:shd w:val="clear" w:color="auto" w:fill="FFFFFF"/>
            <w:lang w:val="en-US" w:eastAsia="en-US" w:bidi="ar-SA"/>
          </w:rPr>
          <w:t>[2001] B.C.J. No. 1056</w:t>
        </w:r>
      </w:hyperlink>
      <w:r>
        <w:rPr>
          <w:rFonts w:ascii="arial" w:eastAsia="arial" w:hAnsi="arial" w:cs="arial"/>
          <w:color w:val="000000"/>
          <w:sz w:val="20"/>
          <w:lang w:val="en-US" w:eastAsia="en-US" w:bidi="ar-SA"/>
        </w:rPr>
        <w:t xml:space="preserve"> at para. 141: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which govern his award have been set out in Parypa v. Wickware </w:t>
      </w:r>
      <w:hyperlink r:id="rId516" w:history="1">
        <w:r>
          <w:rPr>
            <w:rFonts w:ascii="arial" w:eastAsia="arial" w:hAnsi="arial" w:cs="arial"/>
            <w:i/>
            <w:color w:val="0077CC"/>
            <w:sz w:val="20"/>
            <w:u w:val="single"/>
            <w:shd w:val="clear" w:color="auto" w:fill="FFFFFF"/>
            <w:lang w:val="en-US" w:eastAsia="en-US" w:bidi="ar-SA"/>
          </w:rPr>
          <w:t>(1999), 169 D.L.R (4th) 661</w:t>
        </w:r>
      </w:hyperlink>
      <w:r>
        <w:rPr>
          <w:rFonts w:ascii="arial" w:eastAsia="arial" w:hAnsi="arial" w:cs="arial"/>
          <w:color w:val="000000"/>
          <w:sz w:val="20"/>
          <w:lang w:val="en-US" w:eastAsia="en-US" w:bidi="ar-SA"/>
        </w:rPr>
        <w:t xml:space="preserve"> (B.C.C.A.) at paragraphs 30 - 37 and 62 - 70 and may be summarized as follows: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future earning capacity is not to be calculated solely on a mathematical basis. It must be a fair and reasonable assessment based on all of the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future and hypothetical events need not be proven on a balance of probabilities, but may be given weight according to the relative likelihood of their occurrence, as "possibilities that go beyond conjecture".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established in Kwei v. Boisclair </w:t>
      </w:r>
      <w:hyperlink r:id="rId51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accurately set out the factors to be taken into account when considering the extent of future loss of earning capacity as follows:</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him had he not been injured?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this case no actuarial evidence was presented. However, the absence of actuarial or other evidence does not relieve the court of its duty to make a fair assessment of damages: Pallos v. Insurance Co. of British Columbia </w:t>
      </w:r>
      <w:hyperlink r:id="rId51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a fair assessment under this head of damage is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assess the costs of future care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assess the plaintiff's special damages at $6,084.20 as I have concluded that it was not possible for her to continue her career as a hairstylist. Retraining was therefore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is entitled to costs at Scale 3 unless either party applies for a different order within 30 days of the date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13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13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$ 6,084.20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Scale 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Henry v. British Columbia (Attorney General), [2016] B.C.J. No. 2385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November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272 A.C.W.S. (3d) 537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C.P.C. (7th)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C.C.L.T. (4th)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B.C.L.R. (5th) 138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Ivan William Mervin Henry, Plaintiff, and Her Majesty the Queen in Right of The Province of British Columbia as represented by the Attorney General of British Columbia, City of Vancouver, William Harkema, Marilyn Sims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June 8, 2016. See </w:t>
      </w:r>
      <w:hyperlink r:id="rId526" w:history="1">
        <w:r>
          <w:rPr>
            <w:rFonts w:ascii="arial" w:eastAsia="arial" w:hAnsi="arial" w:cs="arial"/>
            <w:i/>
            <w:color w:val="0077CC"/>
            <w:sz w:val="18"/>
            <w:u w:val="single"/>
            <w:shd w:val="clear" w:color="auto" w:fill="FFFFFF"/>
            <w:lang w:val="en-US" w:eastAsia="en-US" w:bidi="ar-SA"/>
          </w:rPr>
          <w:t>[2016] B.C.J. No. 1160</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Civil litigation — Civil procedure — Interest — Entitlement — Calculation of — Date from which interest runs — Pre-judgment interest — Application by plaintiff for pre-judgment interest allowed — Application by Province to deduct settlement amounts from damages payable to plaintiff allowed — Plaintiff was incarcerated for 27 years prior to 2010 Court of Appeal decision quashing convictions based on exculpatory evidence — City, federal Crown and two detectives settled action — Provincial Crown was required to pay compensatory and special damages plus $7.5 million for vindication and deterrence — Latter award was not exempt from pre-judgment interest — Interest ran from date convictions were quashed — Settlement funds were deductible from damages award, save for any portion attributable to costs — Court Order Interest Act, s. 2(e).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Deductions — Application by plaintiff for pre-judgment interest allowed — Application by Province to deduct settlement amounts from damages payable to plaintiff allowed — Plaintiff was incarcerated for 27 years prior to 2010 Court of Appeal decision quashing convictions based on exculpatory evidence — City, federal Crown and two detectives settled action — Provincial Crown was required to pay compensatory and special damages plus $7.5 million for vindication and deterrence — Latter award was not exempt from pre-judgment interest — Interest ran from date convictions were quashed — Settlement funds were deductible from damages award, save for any portion attributable to costs — Court Order Interest Act, s. 2(e).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Settlements — Interest — Pre-judgment interest — Application by plaintiff for pre-judgment interest allowed — Application by Province to deduct settlement amounts from damages payable to plaintiff allowed — Plaintiff was incarcerated for 27 years prior to 2010 Court of Appeal decision quashing convictions based on exculpatory evidence — City, federal Crown and two detectives settled action — Provincial Crown was required to pay compensatory and special damages plus $7.5 million for vindication and deterrence — Latter award was not exempt from pre-judgment interest — Interest ran from date convictions were quashed — Settlement funds were deductible from damages award, save for any portion attributable to costs — Court Order Interest Act, s. 2(e).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8"/>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Henry, for an order awarding pre-judgment interest. Application by the Province for an order for deduction of settlement amounts from the damages or costs payable by the Province. The plaintiff served 27 years' imprisonment as a dangerous offender prior to the convictions being quashed by the Court of Appeal in 2010 based on exculpatory evidence. In 2011, the plaintiff sued the federal and provincial Crowns, the City of Vancouver, and two police detectives. The claims were settled with the City, the detectives and the federal Crown for undisclosed amounts. The plaintiff was awarded damages payable by the Province comprised of $530,000 for compensatory damages, $56,692 for special damages, and $7.5 million pursuant to s. 24(1) of the Charter. The plaintiff was awarded costs at Scale C of Appendix B with each unit calculated at 1.5 times the otherwise applicable value. The plaintiff sought pre-judgment interest. The Province took the position that the Charter award for vindication and deterrence was a non-pecuniary award exempt from court-ordered interest.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5"/>
            <w:bookmarkEnd w:id="127"/>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damages awarded to the plaintiff for vindication and deterrence had a monetary foundation that fit with the definition of a pecuniary judgment, but the award as a head of damage remained non-pecuniary in nature. The award did not arise from either personal injury or death, and therefore did not fit within the exemption from the application of pre-judgment interest under s. 2(e) of the Court Order Interest Act. The plaintiff was entitled to pre-judgment interest running from the date of the quashing of his convictions in October 2010. To find otherwise would overcompensate the plaintiff for time preceding completion of his cause of action. With respect to deductibility, the plaintiff's claims against the settling and non-settling defendants were indivisible, as they sought essentially the same relief, namely compensation for a wrongful conviction and incarceration arising from different allegations of fault. Therefore some of the settlement funds paid to the plaintiff were deductible from the damages award. The matter was remitted to the parties to determine whether the settlement funds included a non-deductible amount on account of costs, with the balance of the settlement funds to be deducted from the award against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14"/>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App. B,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hyperlink r:id="rId527" w:history="1">
        <w:r>
          <w:rPr>
            <w:rFonts w:ascii="arial" w:eastAsia="arial" w:hAnsi="arial" w:cs="arial"/>
            <w:i/>
            <w:color w:val="0077CC"/>
            <w:sz w:val="20"/>
            <w:u w:val="single"/>
            <w:shd w:val="clear" w:color="auto" w:fill="FFFFFF"/>
            <w:lang w:val="en-US" w:eastAsia="en-US" w:bidi="ar-SA"/>
          </w:rPr>
          <w:t>RSBC 1996, CHAPTER 79, s. 1</w:t>
        </w:r>
      </w:hyperlink>
      <w:r>
        <w:rPr>
          <w:rFonts w:ascii="arial" w:eastAsia="arial" w:hAnsi="arial" w:cs="arial"/>
          <w:color w:val="000000"/>
          <w:sz w:val="20"/>
          <w:lang w:val="en-US" w:eastAsia="en-US" w:bidi="ar-SA"/>
        </w:rPr>
        <w:t>, s. 1(1), s. 2, s. 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 Act, </w:t>
      </w:r>
      <w:hyperlink r:id="rId528" w:history="1">
        <w:r>
          <w:rPr>
            <w:rFonts w:ascii="arial" w:eastAsia="arial" w:hAnsi="arial" w:cs="arial"/>
            <w:i/>
            <w:color w:val="0077CC"/>
            <w:sz w:val="20"/>
            <w:u w:val="single"/>
            <w:shd w:val="clear" w:color="auto" w:fill="FFFFFF"/>
            <w:lang w:val="en-US" w:eastAsia="en-US" w:bidi="ar-SA"/>
          </w:rPr>
          <w:t>RSBC 1996, CHAPTER 89, s. 12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8"/>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N. Laxton, Q.C. and Marilyn E. Sandford,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John Hunter, Q.C., Keith Johnston and Heidi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8"/>
      <w:bookmarkEnd w:id="130"/>
      <w:r>
        <w:pict>
          <v:line id="_x0000_s1120"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C.E. HINKSON C.J.S.C."/>
            <w:bookmarkEnd w:id="131"/>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for judgment indexed at </w:t>
      </w:r>
      <w:hyperlink r:id="rId526" w:history="1">
        <w:r>
          <w:rPr>
            <w:rFonts w:ascii="arial" w:eastAsia="arial" w:hAnsi="arial" w:cs="arial"/>
            <w:i/>
            <w:color w:val="0077CC"/>
            <w:sz w:val="20"/>
            <w:u w:val="single"/>
            <w:shd w:val="clear" w:color="auto" w:fill="FFFFFF"/>
            <w:lang w:val="en-US" w:eastAsia="en-US" w:bidi="ar-SA"/>
          </w:rPr>
          <w:t>2016 BCSC 1038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xml:space="preserve">], judgment was granted to the plaintiff against Her Majesty the Queen in Right of the Province of British Columbia as represented by the Attorney General of British Columbia ("Province"), under s. 24(1)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compensatory damages in the amount of $530,000, special damages in the amount of $56,691.80, and damages in the amount of $7,500,000 to serve both the vindication and deterrence functions of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During the trial of the action, the plaintiff's claims against the City of Vancouver ("City"), William Harkema, Marilyn Sims and Attorney General of Canada (together, "Settling Defendants") were settled for undisclosed amounts. The third party proceedings by the Province against the City, William Harkema, Marilyn Sims and the Attorney General of Canada were dismissed at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reasons indexed at </w:t>
      </w:r>
      <w:hyperlink r:id="rId529" w:history="1">
        <w:r>
          <w:rPr>
            <w:rFonts w:ascii="arial" w:eastAsia="arial" w:hAnsi="arial" w:cs="arial"/>
            <w:i/>
            <w:color w:val="0077CC"/>
            <w:sz w:val="20"/>
            <w:u w:val="single"/>
            <w:shd w:val="clear" w:color="auto" w:fill="FFFFFF"/>
            <w:lang w:val="en-US" w:eastAsia="en-US" w:bidi="ar-SA"/>
          </w:rPr>
          <w:t>2016 BCSC 1494</w:t>
        </w:r>
      </w:hyperlink>
      <w:r>
        <w:rPr>
          <w:rFonts w:ascii="arial" w:eastAsia="arial" w:hAnsi="arial" w:cs="arial"/>
          <w:color w:val="000000"/>
          <w:sz w:val="20"/>
          <w:lang w:val="en-US" w:eastAsia="en-US" w:bidi="ar-SA"/>
        </w:rPr>
        <w:t xml:space="preserve">, the plaintiff was refused full indemnity for his costs and disbursements, but awarded a partial remedy for his costs against the Province at Scale C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with each unit allowed thereunder to be calculated at 1.5 times the value that would otherwise apply to a unit in that scale under s. 3(1) of the Appendix. No reduction or apportionment of the plaintiff's costs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now applies for an order that he be awarded pre-judgment interest on the amounts awarded to him, calculated from a date to be determined by the Court and at a rate of interest to be specified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Province applies for an order that the settlement amounts paid to the plaintiff by the Settling Defendants be deducted from the damages that the Province was ordered to pay to the plaintiff or from any costs order made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provides that "[a] judgment debt due to or from the government bears interest in the same way as a judgment debt due from one person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(1) Subject to section 2, a court must add to a </w:t>
      </w:r>
      <w:r>
        <w:rPr>
          <w:rFonts w:ascii="arial" w:eastAsia="arial" w:hAnsi="arial" w:cs="arial"/>
          <w:color w:val="000000"/>
          <w:sz w:val="20"/>
          <w:u w:val="single"/>
          <w:lang w:val="en-US" w:eastAsia="en-US" w:bidi="ar-SA"/>
        </w:rPr>
        <w:t>pecuniary judgment</w:t>
      </w:r>
      <w:r>
        <w:rPr>
          <w:rFonts w:ascii="arial" w:eastAsia="arial" w:hAnsi="arial" w:cs="arial"/>
          <w:color w:val="000000"/>
          <w:sz w:val="20"/>
          <w:lang w:val="en-US" w:eastAsia="en-US" w:bidi="ar-SA"/>
        </w:rPr>
        <w:t xml:space="preserve"> an amount of interest calculated on the amount ordered to be paid at a rate the court considers appropriate in the circumstances </w:t>
      </w:r>
      <w:r>
        <w:rPr>
          <w:rFonts w:ascii="arial" w:eastAsia="arial" w:hAnsi="arial" w:cs="arial"/>
          <w:color w:val="000000"/>
          <w:sz w:val="20"/>
          <w:u w:val="single"/>
          <w:lang w:val="en-US" w:eastAsia="en-US" w:bidi="ar-SA"/>
        </w:rPr>
        <w:t>from the date on which the cause of action arose to the date of the order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w:t>
      </w:r>
      <w:r>
        <w:rPr>
          <w:rFonts w:ascii="arial" w:eastAsia="arial" w:hAnsi="arial" w:cs="arial"/>
          <w:color w:val="000000"/>
          <w:sz w:val="20"/>
          <w:u w:val="single"/>
          <w:lang w:val="en-US" w:eastAsia="en-US" w:bidi="ar-SA"/>
        </w:rPr>
        <w:t>The court must not award interest under section 1</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that part of an order that represents pecuniary loss arising after the date of the order,</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 agreement about interest between the parties,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interest or on costs,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creditor waives in writing the right to an award of interest, or</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that part of an order that represents nonpecuniary damages arising from personal injury or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Province agrees that the judgment granted in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xml:space="preserve"> is a pecuniary judgment within the meaning of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that the compensatory and special damages are pecuniary damages attracting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Province contends, however, that the plaintiff's award of $7.5 million for vindication and deterrence is a non-pecuniary award, exempt from court order interest due to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V.(J.L.) v. H.P.</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(1997), 40 B.C.L.R. (3d) 73</w:t>
        </w:r>
      </w:hyperlink>
      <w:r>
        <w:rPr>
          <w:rFonts w:ascii="arial" w:eastAsia="arial" w:hAnsi="arial" w:cs="arial"/>
          <w:color w:val="000000"/>
          <w:sz w:val="20"/>
          <w:lang w:val="en-US" w:eastAsia="en-US" w:bidi="ar-SA"/>
        </w:rPr>
        <w:t xml:space="preserve"> (S.C.), aff'd </w:t>
      </w:r>
      <w:hyperlink r:id="rId531"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xml:space="preserve">, Madam Justice Stromberg-Stein defined a pecuniary judgment for the purposes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term "pecuniary judgment" in this section refers to any monetary award. The word "pecuniary" is not used in the sense of describing one of the heads of damages. Non-pecuniary awards are specifically excluded under s. 2(e), but punitive damages are not specifically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2013 BCSC 1860</w:t>
        </w:r>
      </w:hyperlink>
      <w:r>
        <w:rPr>
          <w:rFonts w:ascii="arial" w:eastAsia="arial" w:hAnsi="arial" w:cs="arial"/>
          <w:color w:val="000000"/>
          <w:sz w:val="20"/>
          <w:lang w:val="en-US" w:eastAsia="en-US" w:bidi="ar-SA"/>
        </w:rPr>
        <w:t xml:space="preserve">, rev'd on other grounds, </w:t>
      </w:r>
      <w:hyperlink r:id="rId533" w:history="1">
        <w:r>
          <w:rPr>
            <w:rFonts w:ascii="arial" w:eastAsia="arial" w:hAnsi="arial" w:cs="arial"/>
            <w:i/>
            <w:color w:val="0077CC"/>
            <w:sz w:val="20"/>
            <w:u w:val="single"/>
            <w:shd w:val="clear" w:color="auto" w:fill="FFFFFF"/>
            <w:lang w:val="en-US" w:eastAsia="en-US" w:bidi="ar-SA"/>
          </w:rPr>
          <w:t>2014 BCCA 215</w:t>
        </w:r>
      </w:hyperlink>
      <w:r>
        <w:rPr>
          <w:rFonts w:ascii="arial" w:eastAsia="arial" w:hAnsi="arial" w:cs="arial"/>
          <w:color w:val="000000"/>
          <w:sz w:val="20"/>
          <w:lang w:val="en-US" w:eastAsia="en-US" w:bidi="ar-SA"/>
        </w:rPr>
        <w:t xml:space="preserve">, leave to appeal ref'd </w:t>
      </w:r>
      <w:hyperlink r:id="rId534" w:history="1">
        <w:r>
          <w:rPr>
            <w:rFonts w:ascii="arial" w:eastAsia="arial" w:hAnsi="arial" w:cs="arial"/>
            <w:i/>
            <w:color w:val="0077CC"/>
            <w:sz w:val="20"/>
            <w:u w:val="single"/>
            <w:shd w:val="clear" w:color="auto" w:fill="FFFFFF"/>
            <w:lang w:val="en-US" w:eastAsia="en-US" w:bidi="ar-SA"/>
          </w:rPr>
          <w:t>[2014] S.C.C.A. No. 384</w:t>
        </w:r>
      </w:hyperlink>
      <w:r>
        <w:rPr>
          <w:rFonts w:ascii="arial" w:eastAsia="arial" w:hAnsi="arial" w:cs="arial"/>
          <w:color w:val="000000"/>
          <w:sz w:val="20"/>
          <w:lang w:val="en-US" w:eastAsia="en-US" w:bidi="ar-SA"/>
        </w:rPr>
        <w:t xml:space="preserve">, Mr. Justice Melnick also addressed the terms "pecuniary judgment" and "nonpecuniary damages", as used in ss. 1(1) and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At para. 4 he stated that "the Legislature adopted 'pecuniary judgment' to signify" an award "sounding in money", in contrast to other types of award such as an injunction or degree of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Justice Melnick then went on to draw the same distinction between these concepts as did Stromberg-Stein J. in </w:t>
      </w:r>
      <w:r>
        <w:rPr>
          <w:rFonts w:ascii="arial" w:eastAsia="arial" w:hAnsi="arial" w:cs="arial"/>
          <w:i/>
          <w:color w:val="000000"/>
          <w:sz w:val="20"/>
          <w:lang w:val="en-US" w:eastAsia="en-US" w:bidi="ar-SA"/>
        </w:rPr>
        <w:t>V.(J.L).</w:t>
      </w:r>
      <w:r>
        <w:rPr>
          <w:rFonts w:ascii="arial" w:eastAsia="arial" w:hAnsi="arial" w:cs="arial"/>
          <w:color w:val="000000"/>
          <w:sz w:val="20"/>
          <w:lang w:val="en-US" w:eastAsia="en-US" w:bidi="ar-SA"/>
        </w:rPr>
        <w:t xml:space="preserve"> He stated at para. 11 that because a pecuniary judgment is not the same as a head of damages, "'pecuniary judgment' does not refer, solely, to pecuniary damages. Therefore, unless explicitly excluded under s. 2, non-pecuniary damages are also included in the calculation of interest under s. 1." Thus, the distinction between these two terms could support a finding that the judgment is pecuniary, but that a specific award made as part of that judgment is 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principles for the assessment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from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are set out at para. 369 of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In considering the nature of the award for vindication and deterrence, I repeat some of these principles for ease of reference: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t>
      </w:r>
      <w:r>
        <w:rPr>
          <w:rFonts w:ascii="arial" w:eastAsia="arial" w:hAnsi="arial" w:cs="arial"/>
          <w:color w:val="000000"/>
          <w:sz w:val="20"/>
          <w:u w:val="single"/>
          <w:lang w:val="en-US" w:eastAsia="en-US" w:bidi="ar-SA"/>
        </w:rPr>
        <w:t>In other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t>
      </w:r>
      <w:r>
        <w:rPr>
          <w:rFonts w:ascii="arial" w:eastAsia="arial" w:hAnsi="arial" w:cs="arial"/>
          <w:color w:val="000000"/>
          <w:sz w:val="20"/>
          <w:u w:val="single"/>
          <w:lang w:val="en-US" w:eastAsia="en-US" w:bidi="ar-SA"/>
        </w:rPr>
        <w:t>cases, like this one, the claimant's losses will be non-pecuniary. Non-pecuniary damages are harder to measure. Yet they are not by that reason to be rejected.</w:t>
      </w:r>
      <w:r>
        <w:rPr>
          <w:rFonts w:ascii="arial" w:eastAsia="arial" w:hAnsi="arial" w:cs="arial"/>
          <w:color w:val="000000"/>
          <w:sz w:val="20"/>
          <w:lang w:val="en-US" w:eastAsia="en-US" w:bidi="ar-SA"/>
        </w:rPr>
        <w:t xml:space="preserve"> Again, tort law provides assistance. Pain and suffering are compensable. Absent exceptional circumstances, compensation is fixed at a fairly modest conventional rate, subject to variation for the degree of suffering in the particular case. In extreme cases of catastrophic injury, a higher but still conventionally determined award is given on the basis that it serves the function purpose of providing substitute comforts and pleasures: </w:t>
      </w:r>
      <w:r>
        <w:rPr>
          <w:rFonts w:ascii="arial" w:eastAsia="arial" w:hAnsi="arial" w:cs="arial"/>
          <w:i/>
          <w:color w:val="000000"/>
          <w:sz w:val="20"/>
          <w:lang w:val="en-US" w:eastAsia="en-US" w:bidi="ar-SA"/>
        </w:rPr>
        <w:t>Andrews v. Grand &amp; Toy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When we move from compensation to the objectives of vindication and deterrence, tort law is less useful. Making the appropriate determinations is an exercise in rationality and proportionality and will ultimately be guided by precedent as this important chapter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jurisprudence is written by Canada's courts. That said, some initial observations may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Courts in other jurisdictions where an award of damages for breach of rights is available have generally been careful to avoid unduly high damage awards. This may reflect the difficulty of assessing what is required to vindicate the right and deter future breaches, as well as the fact that it is society as a whole that is asked to compensate the claimant. Nevertheless, to be "appropriate and just", an award of damages must represent a meaningful response to the seriousness of the breach and the objectives of compensation, upholding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and deterring future breaches. The private law measure of damages for similar wrongs will often be a useful guide. However, as Lord Nicholls warns in </w:t>
      </w:r>
      <w:r>
        <w:rPr>
          <w:rFonts w:ascii="arial" w:eastAsia="arial" w:hAnsi="arial" w:cs="arial"/>
          <w:i/>
          <w:color w:val="000000"/>
          <w:sz w:val="20"/>
          <w:lang w:val="en-US" w:eastAsia="en-US" w:bidi="ar-SA"/>
        </w:rPr>
        <w:t>Ramanoop</w:t>
      </w:r>
      <w:r>
        <w:rPr>
          <w:rFonts w:ascii="arial" w:eastAsia="arial" w:hAnsi="arial" w:cs="arial"/>
          <w:color w:val="000000"/>
          <w:sz w:val="20"/>
          <w:lang w:val="en-US" w:eastAsia="en-US" w:bidi="ar-SA"/>
        </w:rPr>
        <w:t>, at para. 18, "this measure is no more than a guide because . . . the violation of the constitutional right will not always be coterminous with the cause of action at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To sum up, the amount of damages must reflect what is required to functionally serve the objects of compensation, vindication of the right and deterrence of future breaches, insofar as they are engaged in a particular case, having regard to the impact of the breach on the claimant and the seriousness of the state conduct. The award must be appropriate and just from the perspective of the claimant and the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paras. 28 - 30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Supreme Court of Canada reviewed the objects of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 Vindication focuses on the harm the infringement causes society. As Didcott J. observed in </w:t>
      </w:r>
      <w:r>
        <w:rPr>
          <w:rFonts w:ascii="arial" w:eastAsia="arial" w:hAnsi="arial" w:cs="arial"/>
          <w:i/>
          <w:color w:val="000000"/>
          <w:sz w:val="20"/>
          <w:lang w:val="en-US" w:eastAsia="en-US" w:bidi="ar-SA"/>
        </w:rPr>
        <w:t>Fose</w:t>
      </w:r>
      <w:r>
        <w:rPr>
          <w:rFonts w:ascii="arial" w:eastAsia="arial" w:hAnsi="arial" w:cs="arial"/>
          <w:color w:val="000000"/>
          <w:sz w:val="20"/>
          <w:lang w:val="en-US" w:eastAsia="en-US" w:bidi="ar-SA"/>
        </w:rPr>
        <w:t xml:space="preserve">, violations of constitutionally protected rights harm not only their particular victims, but society as a whole. This is because they "impair public confidence and diminish public faith in the efficacy of the [constitutional] protection": </w:t>
      </w:r>
      <w:r>
        <w:rPr>
          <w:rFonts w:ascii="arial" w:eastAsia="arial" w:hAnsi="arial" w:cs="arial"/>
          <w:i/>
          <w:color w:val="000000"/>
          <w:sz w:val="20"/>
          <w:lang w:val="en-US" w:eastAsia="en-US" w:bidi="ar-SA"/>
        </w:rPr>
        <w:t>Fose</w:t>
      </w:r>
      <w:r>
        <w:rPr>
          <w:rFonts w:ascii="arial" w:eastAsia="arial" w:hAnsi="arial" w:cs="arial"/>
          <w:color w:val="000000"/>
          <w:sz w:val="20"/>
          <w:lang w:val="en-US" w:eastAsia="en-US" w:bidi="ar-SA"/>
        </w:rPr>
        <w:t xml:space="preserve">, at para. 82. While one may speak of vindication as underlining the seriousness of the harm done to the claimant, vindication as an object of constitutional damages focuses on the harm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causes to the state and to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Finally, deterrence of future breaches of the right has also been widely recognized as a valid object of public law damages: e.g., </w:t>
      </w:r>
      <w:r>
        <w:rPr>
          <w:rFonts w:ascii="arial" w:eastAsia="arial" w:hAnsi="arial" w:cs="arial"/>
          <w:i/>
          <w:color w:val="000000"/>
          <w:sz w:val="20"/>
          <w:lang w:val="en-US" w:eastAsia="en-US" w:bidi="ar-SA"/>
        </w:rPr>
        <w:t>Attorney General of Trinidad and Tobago v. Ramanoop</w:t>
      </w:r>
      <w:r>
        <w:rPr>
          <w:rFonts w:ascii="arial" w:eastAsia="arial" w:hAnsi="arial" w:cs="arial"/>
          <w:color w:val="000000"/>
          <w:sz w:val="20"/>
          <w:lang w:val="en-US" w:eastAsia="en-US" w:bidi="ar-SA"/>
        </w:rPr>
        <w:t xml:space="preserve">, [2005] UKPC 15, [2006] 1 A.C. 328, at para. 19; </w:t>
      </w:r>
      <w:r>
        <w:rPr>
          <w:rFonts w:ascii="arial" w:eastAsia="arial" w:hAnsi="arial" w:cs="arial"/>
          <w:i/>
          <w:color w:val="000000"/>
          <w:sz w:val="20"/>
          <w:lang w:val="en-US" w:eastAsia="en-US" w:bidi="ar-SA"/>
        </w:rPr>
        <w:t>Taunoa</w:t>
      </w:r>
      <w:r>
        <w:rPr>
          <w:rFonts w:ascii="arial" w:eastAsia="arial" w:hAnsi="arial" w:cs="arial"/>
          <w:color w:val="000000"/>
          <w:sz w:val="20"/>
          <w:lang w:val="en-US" w:eastAsia="en-US" w:bidi="ar-SA"/>
        </w:rPr>
        <w:t xml:space="preserve">, at para. 259; </w:t>
      </w:r>
      <w:r>
        <w:rPr>
          <w:rFonts w:ascii="arial" w:eastAsia="arial" w:hAnsi="arial" w:cs="arial"/>
          <w:i/>
          <w:color w:val="000000"/>
          <w:sz w:val="20"/>
          <w:lang w:val="en-US" w:eastAsia="en-US" w:bidi="ar-SA"/>
        </w:rPr>
        <w:t>Fose</w:t>
      </w:r>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Smith v. Wade</w:t>
      </w:r>
      <w:r>
        <w:rPr>
          <w:rFonts w:ascii="arial" w:eastAsia="arial" w:hAnsi="arial" w:cs="arial"/>
          <w:color w:val="000000"/>
          <w:sz w:val="20"/>
          <w:lang w:val="en-US" w:eastAsia="en-US" w:bidi="ar-SA"/>
        </w:rPr>
        <w:t>, 461 U.S. 30 (1983), at p. 49. Deterrence, like vindication, has a societal purpose. Deterrence seeks to regulate government behaviour, generally, in order to achieve compliance with the Constitution. This purpose is similar to the criminal sentencing object of "general deterrence", which holds that the example provided by the punishment imposed on a particular offender will dissuade potential criminals from engaging in criminal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most cases, all three objects will be present. Harm to the claimant will evoke the need for compensation. Vindication and deterrence will support the compensatory function and bolster the appropriateness of an award of damages. However, the fact that the claimant has not suffered personal loss does not preclude damages where the objectives of vindication or deterrence clearly call for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Applying the principles discussed in the excerpts at paragraphs 13 and 14 above, I conclude that the damages awarded to the plaintiff for vindication and deterrence are non-pecuniary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At para. 408 of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xml:space="preserve"> I found that a damage award for vindication and deterrence overlapped in purpose with non-pecuniary damages to the extent that "it would be duplicative to award" non-pecuniary damages separate from damages for vindication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the damage award for vindication and deterrence does sound in money and therefore fits the definition of pecuniary judgment, the award as a head of damage remains non-pecuniary in nature. This finding is consistent with the distinction drawn between a pecuniary judgment and non-pecuniary damages in </w:t>
      </w:r>
      <w:r>
        <w:rPr>
          <w:rFonts w:ascii="arial" w:eastAsia="arial" w:hAnsi="arial" w:cs="arial"/>
          <w:i/>
          <w:color w:val="000000"/>
          <w:sz w:val="20"/>
          <w:lang w:val="en-US" w:eastAsia="en-US" w:bidi="ar-SA"/>
        </w:rPr>
        <w:t>V.(J.L.)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however, that the damages awarded to the plaintiff for vindication and deterrence do not arise from either personal injury or death and are thus not exempt from the application of pre-judgment interest under s. 2(e)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question then arises as to the date from which pre-judgment interest should accrue. This question was answered in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Hill v. Hamilton-Wentworth</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 case involving allegations against the police for negligent investigation, the Supreme Court of Canada held that the limitation period for claims arising from a negligent investigation begins to run when the cause of action is complete: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[97] ... The wrongfulness of the conviction is essential to establishing compensable injury in an action where the compensable damage to the plaintiff is imprisonment resulting from a wrongful conviction. In such a case, the cause of action is not complete until the plaintiff can establish that the conviction was in fact wrongful. So long as a valid conviction is in place, the plaintiff cannot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Mr. Henry's cause of action therefore arose in 2010, when he was acquitted by the Court of Appeal. He commenced his action against the defendants on June 28, 2011, within the relevant limitation period. I am therefore unable to see any basis upon which Mr. Henry's claim was barred by the prevailing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at the time that 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am unable to conceive of a principled basis upon which a finding could be made that the plaintiff's cause of action for purpose of the application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should arise from one date, but that cause of action should arise for pre-judgment interest purposes from a different date. On a principled basis, I find the decision in </w:t>
      </w:r>
      <w:r>
        <w:rPr>
          <w:rFonts w:ascii="arial" w:eastAsia="arial" w:hAnsi="arial" w:cs="arial"/>
          <w:i/>
          <w:color w:val="000000"/>
          <w:sz w:val="20"/>
          <w:lang w:val="en-US" w:eastAsia="en-US" w:bidi="ar-SA"/>
        </w:rPr>
        <w:t>Killeen Estate v. Kline</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[1981] B.C.J. No. 2041</w:t>
        </w:r>
      </w:hyperlink>
      <w:r>
        <w:rPr>
          <w:rFonts w:ascii="arial" w:eastAsia="arial" w:hAnsi="arial" w:cs="arial"/>
          <w:color w:val="000000"/>
          <w:sz w:val="20"/>
          <w:lang w:val="en-US" w:eastAsia="en-US" w:bidi="ar-SA"/>
        </w:rPr>
        <w:t xml:space="preserve"> (C.A.), to be of assistance. In that case, Mr. Justice Lambert, for the Court, pointed out that the date of the valuation of a claim will assist in determining the date from which interest will accrue on a claim for lost future benefits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Lambert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If the determination of lost future benefit is made as of the date of trial by a discount going back to that date and on the basis of a life expectancy running from the date of trial, and if the loss to date of trial is made the subject of a separate and less unreliable calculation, then the prejudgment interest should be awarded only on the loss to date of trial and should not be awarded on the lost benefit after the date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If, on the other hand, the determination of lost future benefit is made as of the date of death through a discount going back to the date of death for a life expectancy measured from the date of death then prejudgment interest should be awarded on the full amount of the discounted benefit in order to bring the benefit up to what it would have been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Applying the same reasoning with respect to the plaintiff's damages in this case, I note that his damages were assessed as of the date of his trial and not as of the date of his incarceration. I conclude that the plaintiff would be overcompensated if he were awarded interest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the period of time preceding that when his cause of action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therefore find that the plaintiff's entitlement to pre-judgment interest in this case arose on October 27, 2010, when his convictions were quashed and acquittals entered for each of those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Insofar as the rate of pre-judgment interest to be paid to the plaintiff, in general, the rate for pre-judgment interest is set at two percent below the prime lending rate. I see no reason to depart from the usual practice of applying the rates fixed by the Registrar, from time to time, from October 27, 2010 until June 8, 2016 when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 xml:space="preserve"> were delivered and I will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Deduction of the Amounts Paid by the Settling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nature of the plaintiff's claims was summarized in the following paragraphs from the </w:t>
      </w:r>
      <w:r>
        <w:rPr>
          <w:rFonts w:ascii="arial" w:eastAsia="arial" w:hAnsi="arial" w:cs="arial"/>
          <w:i/>
          <w:color w:val="000000"/>
          <w:sz w:val="20"/>
          <w:lang w:val="en-US" w:eastAsia="en-US" w:bidi="ar-SA"/>
        </w:rPr>
        <w:t>Henry Reasons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Mr. Henry's notice of civil claim in this action was filed on June 28, 2011. He initially brought this action not only against the Province but against the City of Vancouver, Detective William Harkema, and Detective Marilyn Sims (the "City defendants") as well. Det. Sims was a VPD officer who was involved with Det. Harkema in the investigation of the offences with which Mr. Henry was initially charged. Mr. Henry alleged that the City of Vancouver was vicariously liable for what he asserted was the faulty police investigation of the offences with which he was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Mr. Henry also brought these proceedings against the Attorney General of Canada (the "Federal Crown") for the reception and treatment of his post-sentencing applications for various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During the course of the trial of this action, Mr. Henry settled his claims against the City defendants, and later against the Federal Crown. The terms of those settlements were not disclosed, but the action was discontinued as against those defendants, and amendments were permitted to the pleadings of the plaintiff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Province contends that the amounts paid by the Settling Defendants must be deducted from the amounts that it has been ordered to pay to the plaintiff in order to adhere to the principle against double recovery. That principle was discussed by Madam Justice McLachlin, as she then was, for the majority in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962-64,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fundamental principle of tort law that an injured person should be compensated for the full amount of his loss, but no more. This is implicit in the principles governing the recovery of damages for personal injury set forth by this Court in the trilogy of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Prince George School Board</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trilogy this Court affirmed that the purpose of awarding damages in tort is to put the injured person in the same position as he or she would have been in had the tort not been committed, in so far as money can do so. The plaintiff is to be given damages for the full measure of his loss as best that can be calculated. But he is not entitled to turn an injury into a windfall. In each case the task of the Court is to determine as nearly as possible the plaintiff's actual loss. With respect to non-pecuniary damages, the task is necessarily imprecise, and resort must often be had to conventional figures. But where pecuniary damages are at issue, it is the actual pecuniary loss sustained by the plaintiff which governs the amount of the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that compensation must be fair to both the plaintiff and the defendant seems eminently reasonable: </w:t>
      </w:r>
      <w:r>
        <w:rPr>
          <w:rFonts w:ascii="arial" w:eastAsia="arial" w:hAnsi="arial" w:cs="arial"/>
          <w:i/>
          <w:color w:val="000000"/>
          <w:sz w:val="20"/>
          <w:lang w:val="en-US" w:eastAsia="en-US" w:bidi="ar-SA"/>
        </w:rPr>
        <w:t>Phillips v. South Western Railway Co</w:t>
      </w:r>
      <w:r>
        <w:rPr>
          <w:rFonts w:ascii="arial" w:eastAsia="arial" w:hAnsi="arial" w:cs="arial"/>
          <w:color w:val="000000"/>
          <w:sz w:val="20"/>
          <w:lang w:val="en-US" w:eastAsia="en-US" w:bidi="ar-SA"/>
        </w:rPr>
        <w:t>. (1879), 4 Q.B.D. 406 (C.A.). That fairness is best achieved by avoiding both undercompensation and overcompensation.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general principles underlying our system of tort law suggest that the damages awarded to the plaintiff should be confined to his or her actual loss, as closely as that can be calculated. The damages should be in an amount which will restore the plaintiff to his pre-accident position. Where pecuniary losses, such as loss of earnings, are at stake, the measure of damages is normally the plaintiff's actual financial loss. Unless the plaintiff can demonstrate such loss, he or she is not entitled to recover. This is because an essential element of tortious liability is lacking in the absence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leave to appeal ref'd </w:t>
      </w:r>
      <w:hyperlink r:id="rId543"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Madam Justice Huddart, writing for the Court, discussed the public interest in encouraging settlement of litigation, while at the same time discouraging parties from seeking out double recovery by settling against only some of those named as defendants. Huddart J.A. held at para. 30 that when these two interests appear to be at odds, "the concern to prevent double recovery outweighs the public interest in encouraging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Dos Santos v. Sun Life Assurance Co. of Canada</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2005 BCCA 4</w:t>
        </w:r>
      </w:hyperlink>
      <w:r>
        <w:rPr>
          <w:rFonts w:ascii="arial" w:eastAsia="arial" w:hAnsi="arial" w:cs="arial"/>
          <w:color w:val="000000"/>
          <w:sz w:val="20"/>
          <w:lang w:val="en-US" w:eastAsia="en-US" w:bidi="ar-SA"/>
        </w:rPr>
        <w:t>, Chief Justice Finch recognized the importance of preventing overcompensation; however, he pointed out that for the principle against double recovery to apply at all, the same claims had to be made against the Settling Defendants and remaining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 agree with the defendant and the chambers judge (para. 34) that this distinction cannot be drawn in the case at bar. There was no potential for double recovery in </w:t>
      </w:r>
      <w:r>
        <w:rPr>
          <w:rFonts w:ascii="arial" w:eastAsia="arial" w:hAnsi="arial" w:cs="arial"/>
          <w:i/>
          <w:color w:val="000000"/>
          <w:sz w:val="20"/>
          <w:lang w:val="en-US" w:eastAsia="en-US" w:bidi="ar-SA"/>
        </w:rPr>
        <w:t>B.C. Children's Hospital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Children's Hospital v. Air Products Canada</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leave to appeal granted, </w:t>
      </w:r>
      <w:hyperlink r:id="rId546" w:history="1">
        <w:r>
          <w:rPr>
            <w:rFonts w:ascii="arial" w:eastAsia="arial" w:hAnsi="arial" w:cs="arial"/>
            <w:i/>
            <w:color w:val="0077CC"/>
            <w:sz w:val="20"/>
            <w:u w:val="single"/>
            <w:shd w:val="clear" w:color="auto" w:fill="FFFFFF"/>
            <w:lang w:val="en-US" w:eastAsia="en-US" w:bidi="ar-SA"/>
          </w:rPr>
          <w:t>[2003] S.C.C.A. No. 240</w:t>
        </w:r>
      </w:hyperlink>
      <w:r>
        <w:rPr>
          <w:rFonts w:ascii="arial" w:eastAsia="arial" w:hAnsi="arial" w:cs="arial"/>
          <w:color w:val="000000"/>
          <w:sz w:val="20"/>
          <w:lang w:val="en-US" w:eastAsia="en-US" w:bidi="ar-SA"/>
        </w:rPr>
        <w:t xml:space="preserve">] since the plaintiffs in that case were suing the remaining defendants "only for damages arising from their dealings with those defendants." In the case at bar, there is a clear relationship between the sums the plaintiff seeks from the defendant and the sums the plaintiff may have already received in settlement with I.C.B.C. </w:t>
      </w:r>
      <w:r>
        <w:rPr>
          <w:rFonts w:ascii="arial" w:eastAsia="arial" w:hAnsi="arial" w:cs="arial"/>
          <w:i/>
          <w:color w:val="000000"/>
          <w:sz w:val="20"/>
          <w:lang w:val="en-US" w:eastAsia="en-US" w:bidi="ar-SA"/>
        </w:rPr>
        <w:t>Gnitrow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Gnitrow Ltd. v. Cape plc</w:t>
      </w:r>
      <w:r>
        <w:rPr>
          <w:rFonts w:ascii="arial" w:eastAsia="arial" w:hAnsi="arial" w:cs="arial"/>
          <w:color w:val="000000"/>
          <w:sz w:val="20"/>
          <w:lang w:val="en-US" w:eastAsia="en-US" w:bidi="ar-SA"/>
        </w:rPr>
        <w:t>, [2000] 3 All E.R. 763 (C.A.)] remains a persuasive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Bedard v. Martyn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2009 ABQB 165</w:t>
        </w:r>
      </w:hyperlink>
      <w:r>
        <w:rPr>
          <w:rFonts w:ascii="arial" w:eastAsia="arial" w:hAnsi="arial" w:cs="arial"/>
          <w:color w:val="000000"/>
          <w:sz w:val="20"/>
          <w:lang w:val="en-US" w:eastAsia="en-US" w:bidi="ar-SA"/>
        </w:rPr>
        <w:t xml:space="preserve">, the trial judge was asked to assess the liability of the non-settling defendants who were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held to be 25 percent responsible for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That decision was appealed, and the decision of the Alberta Court of Appeal indexed as </w:t>
      </w:r>
      <w:r>
        <w:rPr>
          <w:rFonts w:ascii="arial" w:eastAsia="arial" w:hAnsi="arial" w:cs="arial"/>
          <w:i/>
          <w:color w:val="000000"/>
          <w:sz w:val="20"/>
          <w:lang w:val="en-US" w:eastAsia="en-US" w:bidi="ar-SA"/>
        </w:rPr>
        <w:t>Bedard v. Amin,</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2010 ABCA 3</w:t>
        </w:r>
      </w:hyperlink>
      <w:r>
        <w:rPr>
          <w:rFonts w:ascii="arial" w:eastAsia="arial" w:hAnsi="arial" w:cs="arial"/>
          <w:color w:val="000000"/>
          <w:sz w:val="20"/>
          <w:lang w:val="en-US" w:eastAsia="en-US" w:bidi="ar-SA"/>
        </w:rPr>
        <w:t>, contains a useful summary of the principles to be applied in order to address the prospect of double recovery. There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Appellate courts in Ontario and British Columbia have declined to do so [create an exception to the rule against double recovery for settlement proceeds]. </w:t>
      </w:r>
      <w:r>
        <w:rPr>
          <w:rFonts w:ascii="arial" w:eastAsia="arial" w:hAnsi="arial" w:cs="arial"/>
          <w:color w:val="000000"/>
          <w:sz w:val="20"/>
          <w:u w:val="single"/>
          <w:lang w:val="en-US" w:eastAsia="en-US" w:bidi="ar-SA"/>
        </w:rPr>
        <w:t>Both courts have recently held that settlement proceeds received by a plaintiff must be deducted from damages awarded to the 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Laudon v. Roberts</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2009 ONCA 383</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308 D.L.R. (4th) 422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(applications for leave to appeal both decisions to the Supreme Court of Canada were denied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[2009] S.C.C.A. No. 304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[2009] S.C.C.A. No. 488</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Those cases rest on the well accepted theory that the settlement made by the plaintiff and the monies received by the plaintiff from the settling defendant arise directly out of the action in which all parties are involved. In other words, the settlement monies received are directly related to the plaintiff's claim against both the settling and non-settling defendants for damages sustained. In such circumstances, the plaintiff is not entitled to receive more than the damages awarded by the court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appellants ask us to depart from the existing case law and forge a new path for the use of </w:t>
      </w:r>
      <w:r>
        <w:rPr>
          <w:rFonts w:ascii="arial" w:eastAsia="arial" w:hAnsi="arial" w:cs="arial"/>
          <w:i/>
          <w:color w:val="000000"/>
          <w:sz w:val="20"/>
          <w:lang w:val="en-US" w:eastAsia="en-US" w:bidi="ar-SA"/>
        </w:rPr>
        <w:t>Pierringer</w:t>
      </w:r>
      <w:r>
        <w:rPr>
          <w:rFonts w:ascii="arial" w:eastAsia="arial" w:hAnsi="arial" w:cs="arial"/>
          <w:color w:val="000000"/>
          <w:sz w:val="20"/>
          <w:lang w:val="en-US" w:eastAsia="en-US" w:bidi="ar-SA"/>
        </w:rPr>
        <w:t xml:space="preserve"> agreements in Alberta. Before we embark on such law reform, we must ask what mischief or unfairness caused by the existing Canadian approach we would be trying to ameliorate.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appellants argue that requiring settlement proceeds to be deducted from damage awards will discourage settlement. A similar argument was rejected by Huddart J.A.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who noted at para. 30 that, in Canadian law, "the concern to prevent double recovery outweighs the public interest in encouraging settlement". The appellants rely on this Court's decision in </w:t>
      </w:r>
      <w:r>
        <w:rPr>
          <w:rFonts w:ascii="arial" w:eastAsia="arial" w:hAnsi="arial" w:cs="arial"/>
          <w:i/>
          <w:color w:val="000000"/>
          <w:sz w:val="20"/>
          <w:lang w:val="en-US" w:eastAsia="en-US" w:bidi="ar-SA"/>
        </w:rPr>
        <w:t>Amoco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[2001] A.J. No. 600</w:t>
        </w:r>
      </w:hyperlink>
      <w:r>
        <w:rPr>
          <w:rFonts w:ascii="arial" w:eastAsia="arial" w:hAnsi="arial" w:cs="arial"/>
          <w:color w:val="000000"/>
          <w:sz w:val="20"/>
          <w:lang w:val="en-US" w:eastAsia="en-US" w:bidi="ar-SA"/>
        </w:rPr>
        <w:t xml:space="preserve"> apparently not considered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which emphasized the public interest in encouraging settlement and approved the use of </w:t>
      </w:r>
      <w:r>
        <w:rPr>
          <w:rFonts w:ascii="arial" w:eastAsia="arial" w:hAnsi="arial" w:cs="arial"/>
          <w:i/>
          <w:color w:val="000000"/>
          <w:sz w:val="20"/>
          <w:lang w:val="en-US" w:eastAsia="en-US" w:bidi="ar-SA"/>
        </w:rPr>
        <w:t>Pierringer</w:t>
      </w:r>
      <w:r>
        <w:rPr>
          <w:rFonts w:ascii="arial" w:eastAsia="arial" w:hAnsi="arial" w:cs="arial"/>
          <w:color w:val="000000"/>
          <w:sz w:val="20"/>
          <w:lang w:val="en-US" w:eastAsia="en-US" w:bidi="ar-SA"/>
        </w:rPr>
        <w:t xml:space="preserve"> agreements to that end. But the Court in Amoco did not address the interplay of settlement proceeds and damage awards; the decision dealt with procedural issues and that question was not before the Court. Incentives to settle remain even with the potential to have damage awards reduced by the amount of settlement proceeds. For plaintiffs there is always a real benefit to even partial settlement in the form of lowered risk and the certainty of receiving a set amount from some of the defendants. For defendants there is the benefit of certainty and the avoidance of further litigation and the cost, inconvenience, and sometimes the publicity, associated with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We recognize, as did the trial judge, the element of unfairness that arises on the facts of this case, namely that the party who is at fault and who required the matter to go to trial has the benefit of monies paid by the settling defendants. In other cases, such as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a plaintiff may receive more under the terms of a settlement agreement than he is ultimately awarded at trial. There is no suggestion that the plaintiff in such a case should be required to pay back the excess. </w:t>
      </w:r>
      <w:r>
        <w:rPr>
          <w:rFonts w:ascii="arial" w:eastAsia="arial" w:hAnsi="arial" w:cs="arial"/>
          <w:color w:val="000000"/>
          <w:sz w:val="20"/>
          <w:u w:val="single"/>
          <w:lang w:val="en-US" w:eastAsia="en-US" w:bidi="ar-SA"/>
        </w:rPr>
        <w:t>Although the policy adopted by the Canadian courts may lead to inconsistent or unsatisfactory results in some cases, the general principle is sound and in a broader sense is not unfair; no plaintiff will be left under-compensated through its application. Even if settlement proceeds are deducted from the plaintiff's ultimate award for damages, he will still receive full compensation for his injuries as assessed by the trial judge. The primary goal of tort damages, compensation of the plaintiff, is fulfilled.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claims of the plaintiff against the settling defendant, the City, related to the conduct of City employees prior to the plaintiff's preliminary hearing and trial in 1982 and 1983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claims against the Province related largely to the conduct of Crown counsel before, during, and after the preliminary hearing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claims against Canada were for its actions following his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alleged that but for the separate actions or inactions of the City employees and provincial Crown counsel, he would not have been convicted and incarcerated for almost 27 years, and that but for the action or inaction of Canada he would have been released far sooner than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tort law, where there are multiple causes of injuries, the Court must determine whether the injuries are divisible or indivisible when assessing whether double recovery principles will apply: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I see no reason why such an approach is not equally applicable to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the allegations against the Settling Defendants and non-settling defendants were based upon different allegations of fault, the relief sought was essentially the same: compensation for a wrongful conviction and some 27 years of incarceration. I find that the results alleged to have occurred from the causes of action pleaded against the City and the Province were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 ambit of the compensation sought from the City defendants and the Province was broader than that sought from Canada, the compensation sought from Canada was in large measure subsumed in the award the plaintiff recovered against the Province. Thus, these claims are also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mindful of the fact that the plaintiff was obliged to proceed to trial by all of the original defendants and obliged by the Province to proceed to judgment before recovering any damages from it. The Alberta Court of Appeal in </w:t>
      </w:r>
      <w:r>
        <w:rPr>
          <w:rFonts w:ascii="arial" w:eastAsia="arial" w:hAnsi="arial" w:cs="arial"/>
          <w:i/>
          <w:color w:val="000000"/>
          <w:sz w:val="20"/>
          <w:lang w:val="en-US" w:eastAsia="en-US" w:bidi="ar-SA"/>
        </w:rPr>
        <w:t>Bedard</w:t>
      </w:r>
      <w:r>
        <w:rPr>
          <w:rFonts w:ascii="arial" w:eastAsia="arial" w:hAnsi="arial" w:cs="arial"/>
          <w:color w:val="000000"/>
          <w:sz w:val="20"/>
          <w:lang w:val="en-US" w:eastAsia="en-US" w:bidi="ar-SA"/>
        </w:rPr>
        <w:t xml:space="preserve"> rejected that factor as a basis for not deducting settlement proceeds from damages awarded at trial. At para. 13, the Court confirmed the prevailing principle that the plaintiff cannot receive more in damages than the court awarded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Hogarth v. Rocky Mountain Slate Inc.</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2013 ABCA 57</w:t>
        </w:r>
      </w:hyperlink>
      <w:r>
        <w:rPr>
          <w:rFonts w:ascii="arial" w:eastAsia="arial" w:hAnsi="arial" w:cs="arial"/>
          <w:color w:val="000000"/>
          <w:sz w:val="20"/>
          <w:lang w:val="en-US" w:eastAsia="en-US" w:bidi="ar-SA"/>
        </w:rPr>
        <w:t xml:space="preserve">, leave to appeal ref'd </w:t>
      </w:r>
      <w:hyperlink r:id="rId555" w:history="1">
        <w:r>
          <w:rPr>
            <w:rFonts w:ascii="arial" w:eastAsia="arial" w:hAnsi="arial" w:cs="arial"/>
            <w:i/>
            <w:color w:val="0077CC"/>
            <w:sz w:val="20"/>
            <w:u w:val="single"/>
            <w:shd w:val="clear" w:color="auto" w:fill="FFFFFF"/>
            <w:lang w:val="en-US" w:eastAsia="en-US" w:bidi="ar-SA"/>
          </w:rPr>
          <w:t>[2013] S.C.C.A. No. 160</w:t>
        </w:r>
      </w:hyperlink>
      <w:r>
        <w:rPr>
          <w:rFonts w:ascii="arial" w:eastAsia="arial" w:hAnsi="arial" w:cs="arial"/>
          <w:color w:val="000000"/>
          <w:sz w:val="20"/>
          <w:lang w:val="en-US" w:eastAsia="en-US" w:bidi="ar-SA"/>
        </w:rPr>
        <w:t>, the point was made even more starkly: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[164] The effect of </w:t>
      </w:r>
      <w:r>
        <w:rPr>
          <w:rFonts w:ascii="arial" w:eastAsia="arial" w:hAnsi="arial" w:cs="arial"/>
          <w:i/>
          <w:color w:val="000000"/>
          <w:sz w:val="20"/>
          <w:lang w:val="en-US" w:eastAsia="en-US" w:bidi="ar-SA"/>
        </w:rPr>
        <w:t>Bedard</w:t>
      </w:r>
      <w:r>
        <w:rPr>
          <w:rFonts w:ascii="arial" w:eastAsia="arial" w:hAnsi="arial" w:cs="arial"/>
          <w:color w:val="000000"/>
          <w:sz w:val="20"/>
          <w:lang w:val="en-US" w:eastAsia="en-US" w:bidi="ar-SA"/>
        </w:rPr>
        <w:t xml:space="preserve"> is that the risk of a </w:t>
      </w:r>
      <w:r>
        <w:rPr>
          <w:rFonts w:ascii="arial" w:eastAsia="arial" w:hAnsi="arial" w:cs="arial"/>
          <w:i/>
          <w:color w:val="000000"/>
          <w:sz w:val="20"/>
          <w:lang w:val="en-US" w:eastAsia="en-US" w:bidi="ar-SA"/>
        </w:rPr>
        <w:t>Pierringer</w:t>
      </w:r>
      <w:r>
        <w:rPr>
          <w:rFonts w:ascii="arial" w:eastAsia="arial" w:hAnsi="arial" w:cs="arial"/>
          <w:color w:val="000000"/>
          <w:sz w:val="20"/>
          <w:lang w:val="en-US" w:eastAsia="en-US" w:bidi="ar-SA"/>
        </w:rPr>
        <w:t xml:space="preserve"> agreement falls on the plaintiff. If it settles and "under-recovers" from the settling defendant, it will not be able to make up that shortfall from the non-settling defendants. On the other hand, if it "over-recovers" from the settling defendant (as in </w:t>
      </w:r>
      <w:r>
        <w:rPr>
          <w:rFonts w:ascii="arial" w:eastAsia="arial" w:hAnsi="arial" w:cs="arial"/>
          <w:i/>
          <w:color w:val="000000"/>
          <w:sz w:val="20"/>
          <w:lang w:val="en-US" w:eastAsia="en-US" w:bidi="ar-SA"/>
        </w:rPr>
        <w:t>Bedard</w:t>
      </w:r>
      <w:r>
        <w:rPr>
          <w:rFonts w:ascii="arial" w:eastAsia="arial" w:hAnsi="arial" w:cs="arial"/>
          <w:color w:val="000000"/>
          <w:sz w:val="20"/>
          <w:lang w:val="en-US" w:eastAsia="en-US" w:bidi="ar-SA"/>
        </w:rPr>
        <w:t>) it will not be allowed to keep the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conclude that </w:t>
      </w:r>
      <w:r>
        <w:rPr>
          <w:rFonts w:ascii="arial" w:eastAsia="arial" w:hAnsi="arial" w:cs="arial"/>
          <w:i/>
          <w:color w:val="000000"/>
          <w:sz w:val="20"/>
          <w:lang w:val="en-US" w:eastAsia="en-US" w:bidi="ar-SA"/>
        </w:rPr>
        <w:t>Hogarth</w:t>
      </w:r>
      <w:r>
        <w:rPr>
          <w:rFonts w:ascii="arial" w:eastAsia="arial" w:hAnsi="arial" w:cs="arial"/>
          <w:color w:val="000000"/>
          <w:sz w:val="20"/>
          <w:lang w:val="en-US" w:eastAsia="en-US" w:bidi="ar-SA"/>
        </w:rPr>
        <w:t xml:space="preserve"> correctly summarizes the effect of the decisions in </w:t>
      </w:r>
      <w:r>
        <w:rPr>
          <w:rFonts w:ascii="arial" w:eastAsia="arial" w:hAnsi="arial" w:cs="arial"/>
          <w:i/>
          <w:color w:val="000000"/>
          <w:sz w:val="20"/>
          <w:lang w:val="en-US" w:eastAsia="en-US" w:bidi="ar-SA"/>
        </w:rPr>
        <w:t>Dos Santos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Bedard</w:t>
      </w:r>
      <w:r>
        <w:rPr>
          <w:rFonts w:ascii="arial" w:eastAsia="arial" w:hAnsi="arial" w:cs="arial"/>
          <w:color w:val="000000"/>
          <w:sz w:val="20"/>
          <w:lang w:val="en-US" w:eastAsia="en-US" w:bidi="ar-SA"/>
        </w:rPr>
        <w:t>. In the result, I find that at least some of the settlement funds paid by the Settling Defendants to the plaintiff must be deducted from the damages that I have found the plaintiff is owed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not apparent whether the settlement funds provided to the plaintiff by the City or Canada included some amount exclusively for costs. If they did, that portion should not be included in any reduction in the plaintiff's damage award. The balance of any settlement funds paid by the City and Canada must be deducted from the award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 parties are unable to agree upon whether the settlement funds provided by the City and/or Canada included an amount exclusively for costs, and if so, what amount, they may make arrangements through the Registry to make oral submissions on that point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Hermanson v. Durkee, [2014] B.C.J. No. 973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6-10, 13-17, 20-24 and 27-31,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49403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973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877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Quentin Carter Hermanson, Plaintiff, and Ryan Clarence Durkee and Troy Lea Durkee,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19"/>
      <w:bookmarkEnd w:id="132"/>
      <w:r>
        <w:rPr>
          <w:rFonts w:ascii="arial" w:eastAsia="arial" w:hAnsi="arial" w:cs="arial"/>
          <w:b/>
          <w:color w:val="000000"/>
          <w:sz w:val="20"/>
          <w:lang w:val="en-US" w:eastAsia="en-US" w:bidi="ar-SA"/>
        </w:rPr>
        <w:t>Damages — Physical and psychological injuries — Physical injuries — Head injuries — Brain damage — Psychological injuries — Cognitive impairment — Third party claims — Persons entitled to claim — Spouse — Parent — Trial on loss of earning capacity and cost of future care damages for plaintiff injured in motor vehicle accident at age 18 — Plaintiff awarded $1,800,000 loss of earning capacity, $650,000 future care and $15,000 and $7,500 in-trust for mother and girlfriend — Plaintiff was unemployed but intended to pursue trade at time of accident in which he sustained traumatic brain injury — Plaintiff likely would have pursued well-paying employment but injuries had made employment attempts unsuccessful — Plaintiff required rehabilitation, daily living assistance and was at-risk for psychiatric issues — Mother and girlfriend assisted plaintiff with daily living.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Cost of future care — Loss of earning capacity — Trial on loss of earning capacity and cost of future care damages for plaintiff injured in motor vehicle accident at age 18 — Plaintiff awarded $1,800,000 loss of earning capacity, $650,000 future care and $15,000 and $7,500 in-trust for mother and girlfriend — Plaintiff was unemployed but intended to pursue trade at time of accident in which he sustained traumatic brain injury — Plaintiff likely would have pursued well-paying employment but injuries had made employment attempts unsuccessful — Plaintiff required rehabilitation, daily living assistance and was at-risk for psychiatric issues — Mother and girlfriend assisted plaintiff with daily living.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19"/>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on loss of earning capacity and cost of future care damages for the plaintiff, who was injured in a motor vehicle accident at age 18 in 2010. The defendant admitted liability and parties had agreed on non-pecuniary, special damages and past income loss. The plaintiff had graduated high school four months before the accident but was unemployed and living with his mother at the time. The plaintiff was fit and active before the accident and expressed an intention to pursue a trade. Many of the plaintiff's friends had worked in the oil industry in Alberta. There was no dispute the plaintiff sustained a severe traumatic brain injury in the accident. Both the mother and girlfriend had provided the plaintiff with transportation, cooking and cleaning and financial management since the accident and he had always lived with his mother other than a short period of living with his girlfriend. The plaintiff had attempted several paid and unpaid jobs since the accident but they were always short-lived as he was slow, had difficulty carrying out tasks and retaining information so was not able to do his job adequately. The plaintiff had not worked since 2013. The plaintiff argued he was not competitively employable because of his injuries and would have otherwise gone into a trade like heavy equipment and gone to work in the oil field with his friends, earning a lucrative salary. The plaintiff sought $2,800,000 to $3,375,000 loss of earning capacity damages. The defendant argued the plaintiff could still do some supported employment and his career path was uncertain at the time of the accident. The defendant argued $1,150,000 was appropriate. The plaintiff argued he needed a great deal of assistance for the rest of his life and sought $888,897 to $1,224,895. The defendant disputed the amount of care needed and argued $200,000 was more appropriate. The plaintiff sought an in-trust award of $25,000 each for his mother and girlfriend, while the defendant disputed the amount of care they needed to provide.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16"/>
            <w:bookmarkEnd w:id="13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doubt the plaintiff was not competitively employable. The capital cost approach was best in these circumstances. The plaintiff did not excel in school but planned to pursue a trade and was raised in an environment where fiscal responsibility and good work ethic were the norm. The plaintiff likely would have pursued a trade, strived for a good income and, given his friends' success, there was a substantial possibility he would have done some work in the oil industry, though it was not clear what trade the plaintiff would have achieved. Both parties' positions on earnings loss were too extreme. The plaintiff was awarded $1,800,000. The challenges the plaintiff had faced in his post-accident employment attempts did not bode well for him securing a paid position even in a supportive environment, so it would be too speculative to make any deduction for residual earning capacity. There was no doubt the plaintiff required rehabilitation and relied heavily on his mother and girlfriend for assistance with activities of daily living. While he was able to be left alone for short periods and could now drive again, he was not living independently. The experts opined the plaintiff was at risk of psychological disorders because of the injuries. Exact mathematical calculations for future care costs were not possible. The plaintiff was awarded $650,000 for future care. The plaintiff's approach to in-trust claims was to calculate an hourly wage for work done by his mother and girlfriend, which was not appropriate given they were not arms-length professionals, and their assistance overlapped with their relationship with the plaintiff. They did provide care for him, however. The plaintiff was awarded $15,000 for his mother and $7,500 for his girlfriend. The total award was $2,472,500.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Counsel_19"/>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Yawney, S. Clemson, K.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S.K. Padmanabhan, R.D. Shaw.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9"/>
      <w:bookmarkEnd w:id="136"/>
      <w:r>
        <w:pict>
          <v:line id="_x0000_s1124"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D.A. BETTON J."/>
            <w:bookmarkEnd w:id="137"/>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18 years of age at the time he was injured in a motor vehicle incident. His principal injury is a severe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admits liability for the incident, and the parties have resolved some categories of damages including non-pecuniary damages, special damages and past loss of income. In dispute in this trial are three other categories of damages, including future loss of earnings or earnings capacity, costs of future care, and in-trust claims on behalf of the plaintiff's mother, Nancy Hermanson, and his girlfriend, Joleen Chorney.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also agree that some issues will be addressed after this decision is rendered. Those include tax gross-up, possible structuring of the award,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born on July 23, 1992, in Vernon, B.C., into a family with an older brother, his mother and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His infancy was developmentally normal and his health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his parents separated when he was seven years of age, the plaintiff's home continued to be a healthy and positive one. The plaintiff remained with his mother, who had primary if not sole parenting responsibilities before she formed a relationship with Doug Vandenburg. Even after Mr. Vandenburg entered the plaintiff's life, Nancy Hermanson was primarily responsible for the plaintiff's parenting.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Nancy Hermanson obtained a university degree before beginning a successful career in banking. She was employed full-time thereafter with the Bank of Nova Scotia, with breaks only for maternity leave, until her recent retirement in or about May 2013. She was 50 at the time of her retirement and held the position of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raised the plaintiff, teaching him fiscal responsibility and specifically that money was to be earned not given. She also focussed on the importance of education. Her early hopes were that the plaintiff would attend post-secondary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Vandenburg is self-employed. He owns a gravel truck and excavator. He sometimes supplements that self-employment with seasonal logging truck operation. He has adopted the aforementioned parenting approach of Ms. Hermanson in his role as a step-father and has had a positive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attended school in Salmon Arm and graduated in June 2010, approximately 4.5 months before the motor vehicle incident. The plaintiff's school records are in evidence and numerous lay witnesses and experts have commented on them. I will deal with some of the nuances and interpretations of that scholastic history in the analysis portion of this decision. Generally, however, it is apparent that the plaintiff did not excel academically. His specific areas of weakness appear to have been in reading and writing. As he progressed through the higher grades of the public education system, it became apparent that post-secondary education was not likely or realistic. His apparent intentions, encouraged by his mother, were to graduate from Grade 12 and pursue a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high school was associated with B.C. trades programs, which allowed students to complete part of the educational requirements of provincial trades apprenticeships during their high school. The plaintiff successfully completed the first year automotive technician through that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had an interest in motor vehicles, both driving them and doing minor mechanical work on them. In high school, he acquired a vehicle of his own, on which he did some work. He also helped friends with their vehicles. Mr. Vandenburg taught the plaintiff to assist in some of the basic maintenance of his equipment, such as greasing and oil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child and adolescent, the plaintiff did chores at home where he often negotiated compensation with his mother or Mr. Vandenburg for his efforts. He enjoyed physical, hands-on-types of activities and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a physically fit and active child. He played sports and, once in high school, focussed on rugby. He enjoyed weight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acquired his driver's licence at 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successfully completed the C.O.R.E. course at age 14 and acquired his hunting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or about age 16 and while still in school, he worked for a period of time at a local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Nancy Hermanson always imposed an expectation on the plaintiff that after graduation, he would be required to contribute financially if he were staying at home, unless he remained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he approached graduation, the plaintiff and his mother agreed that he could "take the summer off" before his obligation to pay for staying at home would take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did look for work following his graduation but was unsuccessful until the fall. He then obtained some work with a local (Salmon Arm) landscaping business in September 2010, which concluded at the end of the season in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of the motor vehicle incident, the plaintiff was not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had a core group of high school friends that he socialized with. He was characterized by some of them as being a "smart ass" but generally he seems to have been well liked, active socially and had no behavioural issues of consequence. The plaintiff maintains a friendship with at least some of that group. I will deal with the extent of those friendships in the scope of his current social life in my analysis. The parties characterize it quite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Numerous of the plaintiff's friends have retained at least a connection with, if not their principal residence in, the Salmon Arm area but travel to Alberta for employment. They work in various capacities connected with the oil industry. Some of them at least, have obtained their positions through these friendships; that is, some of the group have been the connections or references relied on by the others to secure their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Motor Vehicle Incident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not deal with the accident circumstances in any detail as liability has been admitted. The defendant, Ryan Clarence Durkee, is and continues to be a friend of the plaintiff. The plaintiff was a passenger in a vehicle operated by Mr. Durkee on a forest road. The vehicle left the road and the injuries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injuries included a severe traumatic brain injury and ruptured spleen.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of the location of the incident, there was some delay before emergency services arrived at the scene. When the plaintiff was initially assessed by them, he had a Glasgow Coma Scale of 3 (the lowest level of consciousness on the scale of 3 to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traumatic brain injury was described by numerous experts. Dr. Clement is a radiologist with a specialization in neuroradiology. He reported (June 11, 2011)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severe axonal shear injury with grade I, grade II and grade III lesions noted. In total they number over 100. There is also more diffuse abnormal signal noted in the corpus callosum and periventricular brain indicating diffuse axonal shear injury. As well the ventricles and sulci are larger than on the previous examination and appear milder larger than expected for an 18-year-old male. These latter findings are likely on the combined basis of resolved brain edema at the time of the patient's trauma as well as generalized early post traumatic cerebral atrophy.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Assessment Post-incident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has been assessed and reported on by 11 specialists in the areas of neuropsychiatry, physical and rehabilitation medicine, neuropsychology, neurology and psychology. Collectively, they produced 24 reports that are in evidence in this trial. There are additional reports in other areas from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Those reports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R. Nairn Stewart</w:t>
      </w:r>
      <w:r>
        <w:rPr>
          <w:rFonts w:ascii="arial" w:eastAsia="arial" w:hAnsi="arial" w:cs="arial"/>
          <w:color w:val="000000"/>
          <w:sz w:val="20"/>
          <w:lang w:val="en-US" w:eastAsia="en-US" w:bidi="ar-SA"/>
        </w:rPr>
        <w:t xml:space="preserve"> - A medical doctor licensed to practice in British Columbia with specialty training and expertise in physical medicine and rehabilitation, including the diagnosis, assessment, rehabilitation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9,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20,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Gordon Wallace</w:t>
      </w:r>
      <w:r>
        <w:rPr>
          <w:rFonts w:ascii="arial" w:eastAsia="arial" w:hAnsi="arial" w:cs="arial"/>
          <w:color w:val="000000"/>
          <w:sz w:val="20"/>
          <w:lang w:val="en-US" w:eastAsia="en-US" w:bidi="ar-SA"/>
        </w:rPr>
        <w:t xml:space="preserve"> - A registered psychologist licensed to practise in British Columbia and Alberta, as well as a registrant of the Canadian Register of Health Service Providers in Psychology, with a PhD in clinical psychology, and specialty training and expertise in conducting psychological and vocational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23,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7,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16,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Jason Clement</w:t>
      </w:r>
      <w:r>
        <w:rPr>
          <w:rFonts w:ascii="arial" w:eastAsia="arial" w:hAnsi="arial" w:cs="arial"/>
          <w:color w:val="000000"/>
          <w:sz w:val="20"/>
          <w:lang w:val="en-US" w:eastAsia="en-US" w:bidi="ar-SA"/>
        </w:rPr>
        <w:t xml:space="preserve"> - An expert medical doctor licensed to practice in British Columbia with specialty training and expertise in neuroradiology.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11, 2011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Christopher Honey</w:t>
      </w:r>
      <w:r>
        <w:rPr>
          <w:rFonts w:ascii="arial" w:eastAsia="arial" w:hAnsi="arial" w:cs="arial"/>
          <w:color w:val="000000"/>
          <w:sz w:val="20"/>
          <w:lang w:val="en-US" w:eastAsia="en-US" w:bidi="ar-SA"/>
        </w:rPr>
        <w:t xml:space="preserve"> - An expert medical doctor licensed to practice in British Columbia with specialty training and expertise in respect to neurology and neurosurgery, including the diagnosis, assessment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Donald A. Cameron</w:t>
      </w:r>
      <w:r>
        <w:rPr>
          <w:rFonts w:ascii="arial" w:eastAsia="arial" w:hAnsi="arial" w:cs="arial"/>
          <w:color w:val="000000"/>
          <w:sz w:val="20"/>
          <w:lang w:val="en-US" w:eastAsia="en-US" w:bidi="ar-SA"/>
        </w:rPr>
        <w:t xml:space="preserve"> - An expert medical doctor licensed to practice in British Columbia with specialty training and expertise in neurology, including the diagnosis, assessment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22,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15,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15,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16,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Derryck Smith</w:t>
      </w:r>
      <w:r>
        <w:rPr>
          <w:rFonts w:ascii="arial" w:eastAsia="arial" w:hAnsi="arial" w:cs="arial"/>
          <w:color w:val="000000"/>
          <w:sz w:val="20"/>
          <w:lang w:val="en-US" w:eastAsia="en-US" w:bidi="ar-SA"/>
        </w:rPr>
        <w:t xml:space="preserve"> - An expert medical doctor licensed to practise in British Columbia since 1980 with specialty training and expertise in psychiatry, including neuropsychiatry, and specifically in relation to the assessment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10,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30,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15,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Harry Miller</w:t>
      </w:r>
      <w:r>
        <w:rPr>
          <w:rFonts w:ascii="arial" w:eastAsia="arial" w:hAnsi="arial" w:cs="arial"/>
          <w:color w:val="000000"/>
          <w:sz w:val="20"/>
          <w:lang w:val="en-US" w:eastAsia="en-US" w:bidi="ar-SA"/>
        </w:rPr>
        <w:t xml:space="preserve"> - A registered psychologist with expertise in neuropsychology and qualified to perform neuropsychological and psychological testing to individuals with traumatic brain injuries and to provide opinions regarding the neuropsychological consequences of their injury, as well as recommendations regarding rehabilitation, therapy and vocational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18, 2011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James Schmidt</w:t>
      </w:r>
      <w:r>
        <w:rPr>
          <w:rFonts w:ascii="arial" w:eastAsia="arial" w:hAnsi="arial" w:cs="arial"/>
          <w:color w:val="000000"/>
          <w:sz w:val="20"/>
          <w:lang w:val="en-US" w:eastAsia="en-US" w:bidi="ar-SA"/>
        </w:rPr>
        <w:t xml:space="preserve"> - A certified clinical psychologist and clinical neuropsychologist qualified to give opinions on the neuropsychological effects of brain injury and disorder on cognitive, emotional and behavioural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28, 2011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16,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22,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14,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R.J. O'Shaughnessy</w:t>
      </w:r>
      <w:r>
        <w:rPr>
          <w:rFonts w:ascii="arial" w:eastAsia="arial" w:hAnsi="arial" w:cs="arial"/>
          <w:color w:val="000000"/>
          <w:sz w:val="20"/>
          <w:lang w:val="en-US" w:eastAsia="en-US" w:bidi="ar-SA"/>
        </w:rPr>
        <w:t xml:space="preserve"> - An expert medical doctor licensed to practice in British Columbia with specialty training and expertise in psychiatry, including the assessment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18,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Rehan Dost</w:t>
      </w:r>
      <w:r>
        <w:rPr>
          <w:rFonts w:ascii="arial" w:eastAsia="arial" w:hAnsi="arial" w:cs="arial"/>
          <w:color w:val="000000"/>
          <w:sz w:val="20"/>
          <w:lang w:val="en-US" w:eastAsia="en-US" w:bidi="ar-SA"/>
        </w:rPr>
        <w:t xml:space="preserve"> - An expert medical doctor licensed to practice in Ontario and British Columbia with specialty training and expertise in neurology, including the diagnosis, assessment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10,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23,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Andrew Travlos</w:t>
      </w:r>
      <w:r>
        <w:rPr>
          <w:rFonts w:ascii="arial" w:eastAsia="arial" w:hAnsi="arial" w:cs="arial"/>
          <w:color w:val="000000"/>
          <w:sz w:val="20"/>
          <w:lang w:val="en-US" w:eastAsia="en-US" w:bidi="ar-SA"/>
        </w:rPr>
        <w:t xml:space="preserve"> - A medical doctor licensed to practice in British Columbia with specialty training and expertise in physical medicine and rehabilitation, including the diagnosis, assessment, rehabilitation and treatment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15,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21, 2013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the incident, the plaintiff was initially hospitalized in Salmon Arm but was quickly transferred to the Royal Inland Hospital in Kamloops, where he remained until his discharge on January 7, 2011. A convenient summary of his progress in hospital, in very brief and general terms, is contained in a report of Dr. Smith, psychiatrist,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Facts and 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appears that he recovered slowly without any surgical or medical intervention.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CT scan of the head showed widespread shear hemorrhages in the corpus callosum and particularly in the right frontal lobe. There was blood in the right lateral ventricle.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 is evident that he sustained a laceration to his spleen and was treated conservatively.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26, 2010, a note from Dr. Raghavan noted that he was still unconscious. He was switched from haloperidol to Seroquel, likely to manage agitation. $* $*</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13, 2010, he was transferred to the rehabilitation unit. $* $*</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noted from the neurological records that the Glasgow Coma Scale score remained at 11 until December 9, 2010. On December 10, 2010, it was 14. $* $*</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 could not find any further scores.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2011, he was wearing an eye patch because of double vision. There was loss of dexterity in the right hand. He had significant memory problems. He was impulsive. His right leg was weaker than the left.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his discharge from hospital, the plaintiff received rehabilitation services from Meridian Rehabilitation. He remained living at his home and his mother also provided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his discharge, the plaintiff had significant physical and cognitive symptoms associated with his brain injury. Physically, the deficits included right-sided weakness, speech impairment and double vision. Cognitively, the plaintiff demonstrated difficulty in sequencing, planning, memory and concrete thinking, as well as limited frustration tolerances, impaired judgment,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rehabilitation efforts focussed on physiotherapy for his right-sided weakness, speech and language therapy to deal with his speech challenges, and occupational therapy to assist him with his impaired dexterity with his right hand and his cognitive issues. He was not able to drive. Kinesiology was involved to assist him in developing and implementing an exercise program. Reports of those service providers indicated that by March 2011, the plaintiff was demonstrating resistance to the level of services being provided and a lack of insight into the extent of his deficits and the need for some of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To aid in structuring the rehabilitation plan, ICBC's rehabilitation co-ordinator obtained the above noted neuropsychological opinion from Dr. Miller that was relied on by the plaintiff. His evaluation occurred on May 27 and 28, 2011, approximately 6.5 months post-injury. Part of his summary of the test results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neuropsychological evaluation revealed a number of areas of higher cognitive function to be impaired. These include complex attention, processing speed, certain aspects of academic skills, verbal intellectual ability, verbal problem solving and reasoning, and learning/memory...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important for the patient to utilize compensatory strategies to manage cognitive problems. Addressing issues with attention and processing speed is fundamental to successful completion of other higher order cognitive abilities including learning, memory, and problem solving/reasoning. Difficulties with attention and processing speed typically impact adversely on the time it takes to register and acquire information, storage of new information, and being able to consider and work through problems and decisions to produce an appropriate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time of that assessment, the plaintiff was pressing to be able to return to driving. Dr. Miller did not feel it was appropriate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generally, the rehabilitation efforts were directed at assisting the plaintiff in dealing with his physical limitations including balance in his right-sided hemiparesis and his impaired speech. As he made gains in recovery and adapted to those challenges, the focus of the rehabilitation shifted to aiding the plaintiff in managing and adapting to the cognitive deficits identified by Dr. Miller. In practical terms, this meant trying to develop compensatory strategies for the limitations that the plaintiff was dealing with in respect of "basic" and "instrumental" activities of daily living ("ADL"). These two categories of ADLs were explained in the evidence. Basic ADLs include such things as personal hygiene and toileting. Instrumental ADLs involve more complex tasks such as doing laundry, making and utilizing shopping lists, taking medications and budgeting.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parties interpret the evidence relating to the plaintiff's progress through his rehabilitation significantly differently and argue that I should reach quite different the conclusions based on it. Those differences are the foundation of their respective positions regarding the appropriate range of damages in each of the disputed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Additional follow-up neuropsychological assessments of the plaintiff were carried out by Dr. Schmidt. In November 2011, after ruling out non-injury related contributors, Dr. Schmidt reported the test results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context I found that Mr. Hermanson continued to show several significant deficits in cognitive functioning. These included significant weaknesses in processing speed, sustained and selective attention, some components of executive functioning, and verbal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Schmidt observed that "both the plaintiff and, to a degree, his mother significantly underreport, or are simply be [sic] unaware of the deficits and weaknesses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October 2012, Dr. Schmidt did further testing and reported on that on January 16, 2013:</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short, I would conclude that, between the first and current evaluations Mr. Hermanson has experienced no improvement in the cognitive weaknesses that have been identified. In particular, Mr. Hermanson continues to show significant deficits in processing speed, selective and sustained attention, verbal learning and memory, and executive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has moved out of the parental home and now lives with his girlfriend, there are indications that she now provides him with a good deal of structure and support. Hence, although I view this as a positive step, it still does not allow us to fully determine his ultimate ability to function independently in the community. Indeed, there are subtle but very ominous indications that significant limitations exist in that respect, including his inability to sustain employment to date, his failure to form friendships in his new community and his apparent difficulties initiating even simple activities as preparing himself food when hungry.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Schmidt did further testing in June 2013 and reported in July 2013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Formal cognitive testing in this occasion revealed no improvement in his performance in areas of weakness since he was seen in October of 2012. In particular, Mr. Hermanson continues to show significant weaknesses in processing speed, selective and sustained attention, ability to learn and retain verbal information, and some aspects of executive functioning, particularly those associated with initiative and selective attention.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Formal testing of emotional and behavioural functioning reveals that Mr. Hermanson, for the most part, remains unaware of his deficits, although he is acknowledging some increased difficulties in problem solving areas. His mother, on the other hand, appears to be becoming more aware of his overall problems, although her insight, too, appears to be somewhat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Schmidt had recommended throughout that ongoing rehabilitation services be involved. In fact, however, services were terminated on November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Cameron's opinion and conclusions included the following:</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Hermanson did sustain a severe traumatic brain injury involving diffused and multifocal brain structures particularly the frontal lobes of his brain sustained at the time of the accident of November 13,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Each party solicited the opinion of a psychiatrist with special interest in neuropsychiatry. Dr. O'Shaughnessy for the defendants saw the plaintiff in February 2013, and Dr. Smith for the plaintiff saw the plaintiff on July 23, 2013. Each agrees that the plaintiff suffered a severe traumatic brain injury. Dr. O'Shaughnessy included these statements in his report of March 18,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...Individuals with this degree of damage evident on an MRI would be predicted to have substantial impairment in a wide variety of areas and in particular in frontal lobe functionings, resulting in significant psychiatric disorder and/or personality changes. Somewhat surprisingly, he does not in fact demonstrate these clinically and in fact he has had a remarkable recovery from his injury, bearing in mind the severity of the MRI findings and the initial clinical findings. Having said that, it is clear he is left with significant residual impairment that has been well documented in the various records I have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however, he is left with ongoing deficits in learning, especially in the verbal capacity, processing speed, and attention tasks. These are entirely consistent with the descriptions of his behaviour and functioning in the rehabilitation reports and in fact his self-report. In my opinion, the ongoing cognitive impairments are quite pronounced and directly related to the brain injury and would not have been evident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material, this man will have significant difficulties in ever returning to school or learning anything, especially through verbal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Smith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Psychiatric Diagnosis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Hermanson has been canvassed for psychiatric illness with three sets of neuropsychological testing using the instrument the Minnesota Multiphasic Personality Inventory. This test has consistently shown nothing much in the way of psychiatric illness. Individuals who sustain severe traumatic brain injury are at very increased risk for developing novel psychiatric illness, most notably depression. Unlike cognitive impairments, which are maximal immediately after trauma, psychiatric illness tends to develop gradually after the actual brain injury. The risk factors for psychiatric illness are probably due to two factors: $* $*</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trauma to the brain; and</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and emotional sequelae of living with a brain injury, including problems with friendships, romantic relationships and employment.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assessment Mr. Hermanson does not appear to have a formal psychiatric diagnosis. His affect, however, is flat. In my opinion, he remains at very significant risk for developing Major Depression given his current reduced ability to function as a romantic partner and as a friend and to maintain competitive employment. There is no evidence that this man has either depression or anxiety.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 Following Discharge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and Joleen Chorney had met and were friends prior to the motor vehicle incident. Following the incident, they became boyfriend and girlfriend. They were both living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the motor vehicle collision, the plaintiff has lived at home with his mother and Mr. Vandenburg with the exception of a period from September 2012 to spring 2013 while he lived in Kamloops with Ms. Chorney while she attended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move to Kamloops occurred when Ms. Chorney decided that she wanted to pursue her education there, and the two decided that the plaintiff would follow and they would live together. That experiment failed when the two broke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left and moved back home in early 2013. Ms. Chorney moved back to Salmon Arm in April 2013. Since then, they have reconciled and, at the time of trial, remain boyfriend and girlfriend but live separately at their respective parents' homes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Ms. Chorney and Nancy Hermanson have provided assistance to the plaintiff in various forms such as transportation; meal preparation; general homemaking, including laundry and cleaning; and reminders for various tasks. Essentially, their assistance has been with tasks that fall into the category of instrumental activities of daily living, including financial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trial, the parties take significantly different positions regarding the quantification of this assistance and whether it is necessitated by the incident-related injuries. These divergent views frame their submissions both in respect of the "in trust claims" advanced on behalf of Ms. Hermanson and Ms. Chorney, and the claim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has not lived in a truly independent situation either before or after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was not able to drive following the motor vehicle collision because of his deficits. At the time of the incident, he possessed his driver's licence in the new driver's categorization or "N". Soon after his discharge from hospital, he pressed those involved with his rehabilitation to regain his driving privileges. That ultimately led to the involvement of Insight Rehabilitation Services and the GF Strong Driver Rehabilitation Services. On April 26, 2012, the plaintiff successfully obtained an unrestricted Class 5 driver's licence. He has been driving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has been no professional review of his driving since. Those who have been his passenger describe him generally as a cautious driver. He relies heavily on a GPS device and/or his passengers to assist him in finding destinations.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Post-incident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the motor vehicle incident, the plaintiff has had several periods of employment either with or without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first was with Shuswap Collision in Salmon Arm. It is auto body repair shop. Mr. Vandenburg had some connection with the ownership of the business. With the assistance of the rehabilitation team, arrangements were made for a graduated return to work trial. Over a period of approximately six weeks, the plaintiff attended that employment with weekly increases in the hours. It was not paid employment. The supervisors and managers of the business worked with the rehabilitation supervisors. They noted that as the hours increased, issues of fatigue emerged.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Oickle, one of the owners of the business, felt that the plaintiff tried hard but was unable to carry out more than basic tasks and did not function well without supervision. It was his opinion that the plaintiff was not efficient and not capable of doing the job. To give the endeavour context, Mr. Oickle testified that he would not recommend the plaintiff as an employee. That work trial concluded on January 13,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May 2012, the plaintiff applied for and secured part-time employment with Save-On-Foods in Salmon Arm. This was paid remuneration at minimum wage. It continued until August 25, 2012, when the plaintiff quit so that he could follow Ms. Chorney to Kamloops as set out above. His position was as a "store clerk" with duties involving stocking shelves, price checks, collecting buggies and similar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Bamford, the general manager of the store, observed the plaintiff while at work and also received feedback from the plaintiff's immediate supervisors. After the plaintiff resigned, Mr. Bamford placed a note on the file that indicated if the plaintiff applied to be rehired that he should be declined. In Mr. Bamford's view, the plaintiff was too slow and not a desirable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was actually hired for the job at Save-On-Foods by the assistant manager, Mr. Paul Hartman. He observed the plaintiff to be an "okay worker" who was not "overly fast". He described the plaintiff as being "slow and steady" but did the minimum amount of work to get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moving to Kamloops with Ms. Chorney in early September 2012, the plaintiff applied for and obtained full-time employment with Canadian Tire in their automotive shop. The plaintiff's duties included mounting and balancing tires, oil changes, shop cleanup, and assisting technicians or mechanics. He entered the employment on a three-month probation system, and he was terminated from that employment prior to the expiration of that probation on December 12, 2012. The service manager, Mr. Kurucz, indicated that the plaintiff was very slow in carrying out his tasks and did not seem to be able to retain information he was given. He was able to work independently on very narrow tasks, but he was not trusted to work alone on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Kurucz, was contacted later by the manager of Salmon Arm after the plaintiff applied for a job there. Mr. Kurucz recommended to that individual that the plaintiff not be hired. Despite that, the plaintiff was hired for employment at the Canadian Tire store in Salmon Arm on April 29, 2013. He was terminated on May 5, 2013, after getting into a disagreement with the shop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next acquired a job at Salmon Arm Truss. Initially, his job was to put trusses together. He was removed from that position because he was too slow and placed in the yard. Ultimately, he was terminated from the job after less than one month as a result of conflict with his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has not had any employment from then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little disagreement between the parties on the essential features of the injury and its effect on the plaintiff. The plaintiff received a severe traumatic brain injury. No other injury has a material impact on the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issues are, on their face at least, not complicated. The parties agree the plaintiff is not competitively employable. They agree that he will require future care, including a case manager, rehabilitation assistance and a job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Despite that, there remain areas of dispute which result in significantly different positions as to quantum of damages in the three categories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Income Loss/Loss of Earnings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says that he is not competitively employable. While he acknowledges that obtaining some form of supportive employment is important in terms of managing his long-term mental health, the plaintiff says that prospects for such employment cannot be a basis for or considered to be a source of residual income earning capacity. He says he has no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considering his pre-accident earnings potential, the plaintiff says that he probably would have gone into a mechanics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relies in part on the expert reports of Dr. Gordon Wallace. Dr. Wallace provided a range of occupational options which were open to Mr. Hermanson based on his pre-injury vocational attributes and interests. These ranged from direct entry occupational options to apprenticeable trades, including automotive and heavy duty mechanic to college certificate programs, such as draftsman, telecommunications technician, and automotive/heavy equipment parts person. He then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earnings which Mr. Hermanson could have enjoyed from the occupational options that he could have accessed prior to the 2010 accident would have ranged significantly depending upon the individual's demonstrated competence, employment opportunities, union affiliation, etc. I would therefore recommend that a Labour Economist be consulted in order to provide information regarding his pre-injury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did indeed obtain such an opinion from Robert Carson, although with a narrowed focus. Specifically, Mr. Carson articulated the issue presented to him by counsel for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advised that Mr. Hermanson was interested in trades occupations, particularly those involving mechanical repair work. You have asked for information with regard to earnings in trades jobs in B.C. and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response, Mr. Carson reviewed selected statistical and census data. He also considered adjustments for contingencies, including labour force participation rates, unemployment rates and part-time factors, and for non-wage benefits. His report then sets out estimates for present value of future loss of income in three employment scenarios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Table 1</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B.C. Registered Apprenticeship Certificates</w:t>
      </w:r>
      <w:r>
        <w:rPr>
          <w:rFonts w:ascii="arial" w:eastAsia="arial" w:hAnsi="arial" w:cs="arial"/>
          <w:color w:val="000000"/>
          <w:sz w:val="20"/>
          <w:lang w:val="en-US" w:eastAsia="en-US" w:bidi="ar-SA"/>
        </w:rPr>
        <w:t>...$1,616,600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Table 2</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B.C. Heavy-Duty Equipment Mechanic</w:t>
      </w:r>
      <w:r>
        <w:rPr>
          <w:rFonts w:ascii="arial" w:eastAsia="arial" w:hAnsi="arial" w:cs="arial"/>
          <w:color w:val="000000"/>
          <w:sz w:val="20"/>
          <w:lang w:val="en-US" w:eastAsia="en-US" w:bidi="ar-SA"/>
        </w:rPr>
        <w:t>...$1,957,200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Table 3</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Alberta Males with Trades Certificates</w:t>
      </w:r>
      <w:r>
        <w:rPr>
          <w:rFonts w:ascii="arial" w:eastAsia="arial" w:hAnsi="arial" w:cs="arial"/>
          <w:color w:val="000000"/>
          <w:sz w:val="20"/>
          <w:lang w:val="en-US" w:eastAsia="en-US" w:bidi="ar-SA"/>
        </w:rPr>
        <w:t>...$2,322,000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All of these are net present values and assume the plaintiff would work to age 70. Tables incorporating the same contingency assumptions are included in the report to allow any level of annualized earnings to be used to calculate net present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argues, however, that the statistically-based analysis of the plaintiff's earnings potential underestimates his actual earnings potential. Instead, the plaintiff says that he, like many of his high school friends, would have travelled to Alberta for work in or connected with the oil industry. He argues that he had the potential to obtain a heavy duty mechanic trade certificate. The plaintiff says that this, together with the specific examples of earnings introduced into the evidence, support an annualized loss of earnings of $110,000 to $130,000 per year. Using the tables in Mr. Carson's report, he says that the net present value of future income loss is in the range of $2,800,000 to $3,375,000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acknowledge that the plaintiff is competitively unemployable but say that there must be some allowance for income generated in the supported employment settings the plaintiff is likely to obtain over his lifetime. The defence agrees that the plaintiff should have a job coach to assist him in finding such positions, but with that an allowance of $12,000 per year on average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Given the plaintiff's age at the time of his injury, as well as his academic performance, the defence stresses the uncertainty of what his future career path would have been. As a result, it says a broader range of options that were realistic for this plaintiff must be considered in assessing the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the defendants say on the whole that the plaintiff had not shown himself to be highly motivated and, therefore, although there was a possibility that he would have completed a trade certificate as an automotive service technician, it is less likely that he would have gone on to become a heavy duty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Still further, the defence says that there is not sufficient evidence on which to base the assessment of exceptional earnings in the Alberta oil fields attained by the plaintiff's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also say that the plaintiff may have retired early, as his mother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all of those types of considerations into account, the defendants say the pre-injury earnings potential should be assessed at $1,150,000.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points to the evidence of Ms. Chorney and Ms. Hermanson. Each of them describes the very high level of assistance the plaintiff continues to require. They say that the expert medical and rehabilitation evidence also makes it clear that extensive support must be in place for the plaintiff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relies on the report of Janice Landy for most of the specific quantification and costing for those needs. Her report considers and incorporates the recommendations made by medical practitioners including Dr. Stewart, as well as her own assessment of the plaintiff in making her recommendations for various categories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report of Christine Clark, a labour economist, is provided by the plaintiff to calculate the net present value of those recommendations. That calculation ranges between $608,528 and $798,940. The plaintiff says in addition that a substantial allowance must be made for the plaintiff to be able to use a taxi in the future, as he is at risk of prematurely losing his driving privileges. He also says that there must be a contingency fund set aside. This results in a submission for an award of $888,897 to $1,224,895.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says that the items of future care that they agree need to be provided, delivered at an appropriate level, should result in a much more modest award. In addition, they argue that the extent of and manner of delivery of some of the most costly items claimed by the plaintiff are not justifiable. They rely on reports of Dr. Travlos and Laura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One of the most expensive recommendations by Ms. Landy is for a rehabilitation assistant. The defendants agree that allowances should be made for the services of a rehabilitation assistant but say that much less money is required for that. They say that given the plaintiff's abilities, the number of hours of assistance required is significantly overstated. They also point out that a large portion of the costs set out by Ms. Landy is for travel time for a rehabilitation assistant. Those costs can be reduced by having a rehabilitation assistant provide the services remotely much of the time. Further, they say that allowances must be made for the fact that the plaintiff may live in a community where a rehabilitation assistant would not have to travel to see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also argue that the allowances for psychological consultation should be far less than what is budgeted for by Ms. Landy given that the plaintiff does not presently have a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are other areas of dispute, but the variance in quantum arising from those disputes is much more modest. They include: speech, language therapy, and gym 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They argue that an appropriate award for costs of future care would be $213,000.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advances in-trust claims on behalf of both Nancy Hermanson and Joleen Chorney. The plaintiff says an assessment is required of the collective value of those services during different periods following the injury, including the period of time that the plaintiff was in the hospital, then the "acute phase" upon discharge from the hospital, and then providing transportation prior to the plaintiff acquiring his driver's licence and the ongoing assistance. He argues an appropriate award is $25,000.00 for each of Nancy Hermanson and Joleen Chorney for a total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say that any services that attract an award for an in-trust claim must be above and beyond what would reasonably be expected from the family relationship. They say that Nancy Hermanson should receive some compensation for the period of time immediately after the plaintiff's discharge from hospital for her time assisting the plaintiff. In respect of the balance of the claims advanced, the defendants say that the services do not meet the legal standard established by the authorities. They say that an appropriate award for Nancy Hermanson is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respect of Ms. Chorney, the defendants say that none of the claimed services meet the test required to justify an award and no allowance should be made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assessment of an appropriate award requires that I determine the plaintiff's pre-injury earning capacity and what, if any, residual earning capacity he has. The difference will represent the appropriate award. There are obvious challenges to such an assessment with such a young plaintiff, who had yet to establish a career path or pattern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question here that the plaintiff has established a real and substantial possibility of a loss of income in the future. The parties agree the plaintiff is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the court commented on the alternative approaches to assessment and damages for loss of earnings, but reinforced that whichever approach is to be applied, it is still an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What is readily apparent from a comparison between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is that in the case at bar the future projection of loss is based on an existing, proven, and modestly successful business: historical earnings was therefore a more useful basis on which to assess future loss of earning capacity in this case than was the case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The assessment of $30,000 already takes into account many of those contingency factors mentioned by Huddart J.A. at para. 16 of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this Court said that a court could adopt either an earnings approach to the assessment of damages for future loss of earning capacity or the capital asset approach: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should not be taken to suggest that, in adopting an "earnings approach", the assessment of damages for loss of earning capacity does not remain just that -- an assessment.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the circumstances of this case, the capital asset approach is appropriate. In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the court said that in such circumstances, though the approach is not a purely mathematical one, mathematical aids may be of some assistance. Specifically at paras. 35 to 37,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Quantifying a loss may be aided by some mathematical calculation, but there is no particular formula. As stated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color w:val="000000"/>
          <w:sz w:val="20"/>
          <w:u w:val="single"/>
          <w:lang w:val="en-US" w:eastAsia="en-US" w:bidi="ar-SA"/>
        </w:rPr>
        <w:t>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The task of the court is to assess damages, not to calculate them according to some mathematical formula.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The overall fairness and reasonableness of the award must be considered taking into account all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t>
      </w:r>
      <w:r>
        <w:rPr>
          <w:rFonts w:ascii="arial" w:eastAsia="arial" w:hAnsi="arial" w:cs="arial"/>
          <w:color w:val="000000"/>
          <w:sz w:val="20"/>
          <w:u w:val="single"/>
          <w:lang w:val="en-US" w:eastAsia="en-US" w:bidi="ar-SA"/>
        </w:rPr>
        <w:t>The assessment of damages is a matter of judgment</w:t>
      </w:r>
      <w:r>
        <w:rPr>
          <w:rFonts w:ascii="arial" w:eastAsia="arial" w:hAnsi="arial" w:cs="arial"/>
          <w:color w:val="000000"/>
          <w:sz w:val="20"/>
          <w:lang w:val="en-US" w:eastAsia="en-US" w:bidi="ar-SA"/>
        </w:rPr>
        <w:t>, not calculation.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This process is "an assessment rather than a calculation" and "many different contingencies must be reflected in such an award":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2010 BCCA 116</w:t>
        </w:r>
      </w:hyperlink>
      <w:r>
        <w:rPr>
          <w:rFonts w:ascii="arial" w:eastAsia="arial" w:hAnsi="arial" w:cs="arial"/>
          <w:color w:val="000000"/>
          <w:sz w:val="20"/>
          <w:lang w:val="en-US" w:eastAsia="en-US" w:bidi="ar-SA"/>
        </w:rPr>
        <w:t xml:space="preserve"> at para. 18. "Ultimately, the court must base its decision on what is reasonable in all of the circumstances. Projections, calculations and formulas are only useful to the extent that they help determine what is fair and reasonable":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at para. 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With that said, if there are mathematical aids that may be of some assistance, the court should start its analysis by considering them. For example, in </w:t>
      </w:r>
      <w:r>
        <w:rPr>
          <w:rFonts w:ascii="arial" w:eastAsia="arial" w:hAnsi="arial" w:cs="arial"/>
          <w:i/>
          <w:color w:val="000000"/>
          <w:sz w:val="20"/>
          <w:lang w:val="en-US" w:eastAsia="en-US" w:bidi="ar-SA"/>
        </w:rPr>
        <w:t>Henry v. Zenith</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(1993), 31 B.C.A.C. 223</w:t>
        </w:r>
      </w:hyperlink>
      <w:r>
        <w:rPr>
          <w:rFonts w:ascii="arial" w:eastAsia="arial" w:hAnsi="arial" w:cs="arial"/>
          <w:color w:val="000000"/>
          <w:sz w:val="20"/>
          <w:lang w:val="en-US" w:eastAsia="en-US" w:bidi="ar-SA"/>
        </w:rPr>
        <w:t xml:space="preserve"> at paras. 44-48, </w:t>
      </w:r>
      <w:hyperlink r:id="rId573" w:history="1">
        <w:r>
          <w:rPr>
            <w:rFonts w:ascii="arial" w:eastAsia="arial" w:hAnsi="arial" w:cs="arial"/>
            <w:i/>
            <w:color w:val="0077CC"/>
            <w:sz w:val="20"/>
            <w:u w:val="single"/>
            <w:shd w:val="clear" w:color="auto" w:fill="FFFFFF"/>
            <w:lang w:val="en-US" w:eastAsia="en-US" w:bidi="ar-SA"/>
          </w:rPr>
          <w:t>82 B.C.L.R. (2d) 186</w:t>
        </w:r>
      </w:hyperlink>
      <w:r>
        <w:rPr>
          <w:rFonts w:ascii="arial" w:eastAsia="arial" w:hAnsi="arial" w:cs="arial"/>
          <w:color w:val="000000"/>
          <w:sz w:val="20"/>
          <w:lang w:val="en-US" w:eastAsia="en-US" w:bidi="ar-SA"/>
        </w:rPr>
        <w:t xml:space="preserve"> (C.A.), this Court held that a trial judge's failure to consider an economist's projections of a plaintiff's lost future earning capacity contributed to the judge committing an error in principle, which "resulted in a wholly erroneous estimate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Here both the plaintiff and defence have tendered economists' reports. There are differences in how they have approached various positive and negative contingencies. Mr. Carson and Mr. Hildebrand simply have different views on some of those considerations. In the context of my assessment of damages, I do not find it necessary to resolve those differences of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They have also selected or have been asked to consider different subsets of statistical data in presenting their calculations. Mr. Carson focussed on certain trades subsets that have generally higher earnings levels. Mr. Hildebrand considered a broader subset which incorporates several groupings with relatively lower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also introduced specific examples of earnings from friends of Mr. Hermanson who have decided to pursue employment in Alberta in the oil industry or related trades (Tyler Moore and Ryan Durkee) and also some persons not known to Mr. Hermanson working in the mechanics trade also in Alberta (Curt Zimmerman and Daniel Greff). It is the plaintiff's assertion that given Mr. Hermanson's close association to some of those individuals, it is entirely likely, not just a possibility, that he would have followed a similar path and generated considerably higher earnings than the statistical data relied upon by the economists.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Evidence capable of signalling what the plaintiff might have done comes from descriptions of his family background, scholastic achievements, and his personality as described by the expert and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was raised in an environment where fiscal responsibility and positive work ethic were the norm. He was, in addition, raised to appreciate the importance of some form of education. Certainly that element is supportive of a conclusion that Mr. Hermanson would have strived to earn a good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respect of his scholastic achievement, all agree that acquiring a trade was likely the furthest education he would complete. There are, of course, a variety of trades. In addition, circumstances might have intervened that would have derailed that endeavour.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noted a variety of comments in the academic records regarding modest effort. In addition, Mr. Hermanson had not done much toward pursuing a trade as his high school education concluded and to the time of the accident. In my view, while that is relevant, it would erroneous to give it too much weight. Mr. Hermanson, by all accounts, was associated with a group of peers who, at least in the early stages of their lives, have been successful. He certainly possessed the intellectual capacity to acquire a trades certificate and had interests consistent with that. That is not offset to any great extent by what happened or did not happen between June and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terms of his personality, the evidence satisfies me that he was inclined to work hard on those things that were of interest to him and/or when he was motivated. He was motivated by monetary return and possessed characteristics that are generally desirable in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my view, the position of the defence is not supported by the evidence. Effectively, its position is based on eliminating from the possibilities any occupations requiring higher education (and therefore the higher earnings streams) but leaving everything else in. While they do suggest a somewhat arbitrary weighting, their position is really based too much on statistics and not enough on the evidence specific to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on the other hand, argues that statistics should largely be ignored and the specific earnings examples of four individuals should be the evidence primarily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both positions go too far in their respective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my conclusion that Mr. Hermanson would have likely pursued a trade in the higher earnings spectrum of those that the economists have concluded he could have done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considering the evidence of the individual earnings levels as presented by witnesses for the plaintiff, significant caution must be exercised. Neither economist was asked specifically why they did not consider specific earnings levels of specific individuals, but in circumstances such as these, there is a strong argument to be made that statistics which, by necessity, blend high income earners, such as those presented by the plaintiff, with those who have not achieved such earnings is a more reasonable approach. Not all of the witnesses who were called had indicated that it was their intention to stay in their high earnings positions in Northern Alberta, and it seems logical that many, including possibly Mr. Hermanson had he gone to the oil industry at all, would feel the same. On the other hand, one must recognize that Mr. Hermanson is part of a social group, many of whom had elected, at least in their early years of employment, to pursue such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such evidence is merely a consideration in assessing the value of the lost capital asset. There is certainly a substantial possibility that Mr. Hermanson would have, at least in the short term, pursued such work. It is difficult to measure the likelihood of that and even more difficult to determine how long he might have stayed in such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defence argued that the plaintiff might have retired early like his mother. While that is a possibility, such a decision would logically flow from a relatively high earnings stream and/or prudent savings habits to enable such a decision. It is not reasonable for the defence to say that the plaintiff would have both been a low earner with limited motivation and retired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view, the appropriate assessment of the plaintiff's pre-injury earnings capacity is $1,800,000.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must next assess the residual earning capacity of the plaintiff. Competitive employment is defined by Dr. Wallace (Exhibit 7 - Tab 1(c) at p. 15) as "...the ability to engage in work activities that generate remuneration based on performance capabilities". As indicated, the defence acknowledges that the plaintiff is not competitively employable but says that some allowance must be made for remuneration from supported employment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only evidence before me on this subject is an acknowledgement by some of the experts that some supportive employment positions are paid. There is no evidence as to how the payment is made; that is, whether it is in the form of an honorarium or wages and benefits, or what statistical data exists if any as to what might be expected. Despite this, the defence argues that an arbitrary assessment of $12,000 annually should be made. In my view, this is not a supportable proposition. The challenges that the plaintiff has faced in retaining employment do not bode well for him securing a paid position even in a supportive environment. In addition, it has been noted that the longer time goes on, the greater the likelihood that periods of unemployment will be extended between periods of employment even in supportive positions. Accordingly, it my view that it would be highly speculative to attach any monetary value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make no reduction for any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Both parties have referenced relevant authorities, and they agree on the applicable principles. The plaintiff is entitled to compensation for care that is medically justified and that is reasonable, based on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Each party fairly point to authorities that apply that general principle but articulate its boundaries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This is not an exercise in how to save money. This is an analysis of how best to compensate the plaintiff for her grievous injuries and her loss of quality of life that occurred through no fault of her own but, rather,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This is not a discussion of retribution but, rather, one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defence references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In an historical perspective, here revisiting the trilogy, the test for the standard of care generally is whether a reasonably-minded person of ample means would be ready to incur the expense. When measuring reasonableness, the expense should not be a squandering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addition, they point to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paras. 162-163, affirmed </w:t>
      </w:r>
      <w:hyperlink r:id="rId578"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 The test for an award of future care is "whether a reasonably-minded person of ample means would be ready to incur the expense. When measuring reasonableness, the expense should not be a squandering of money":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In formulating this test Harvey J. referred to the decision of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(1995), 26 B.C.L.R. (3d) 201</w:t>
        </w:r>
      </w:hyperlink>
      <w:r>
        <w:rPr>
          <w:rFonts w:ascii="arial" w:eastAsia="arial" w:hAnsi="arial" w:cs="arial"/>
          <w:color w:val="000000"/>
          <w:sz w:val="20"/>
          <w:lang w:val="en-US" w:eastAsia="en-US" w:bidi="ar-SA"/>
        </w:rPr>
        <w:t xml:space="preserve"> (C.A.), where Donald J.A. stated at para. 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proper test is reasonableness and that the psychological and emotional factors influencing the choice of where to live must be considered: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 xml:space="preserve">Grand &amp; Toy Alberta Ltd., </w:t>
      </w:r>
      <w:hyperlink r:id="rId53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Medical necessity is too stringent a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Thus, the claim must be supported by evidence that establishes the proposed care is what a reasonable person of ample means would provide in order to meet what the plaintiff "reasonably needs to expend for the purpose of making good the loss":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(1985), 16 D.L.R. (4th) 1</w:t>
        </w:r>
      </w:hyperlink>
      <w:r>
        <w:rPr>
          <w:rFonts w:ascii="arial" w:eastAsia="arial" w:hAnsi="arial" w:cs="arial"/>
          <w:color w:val="000000"/>
          <w:sz w:val="20"/>
          <w:lang w:val="en-US" w:eastAsia="en-US" w:bidi="ar-SA"/>
        </w:rPr>
        <w:t xml:space="preserve"> (S.C.C.), at 17, quoting from the decision of </w:t>
      </w:r>
      <w:r>
        <w:rPr>
          <w:rFonts w:ascii="arial" w:eastAsia="arial" w:hAnsi="arial" w:cs="arial"/>
          <w:i/>
          <w:color w:val="000000"/>
          <w:sz w:val="20"/>
          <w:lang w:val="en-US" w:eastAsia="en-US" w:bidi="ar-SA"/>
        </w:rPr>
        <w:t>Darbishire v. Warran</w:t>
      </w:r>
      <w:r>
        <w:rPr>
          <w:rFonts w:ascii="arial" w:eastAsia="arial" w:hAnsi="arial" w:cs="arial"/>
          <w:color w:val="000000"/>
          <w:sz w:val="20"/>
          <w:lang w:val="en-US" w:eastAsia="en-US" w:bidi="ar-SA"/>
        </w:rPr>
        <w:t xml:space="preserve">, [1963] 1 W.L.R. 1067 at 1075. It must also be based on an objective test of what is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Andrews, supra.</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page 235, "What is being sought is compensation not retribution." Similarly, in </w:t>
      </w:r>
      <w:r>
        <w:rPr>
          <w:rFonts w:ascii="arial" w:eastAsia="arial" w:hAnsi="arial" w:cs="arial"/>
          <w:i/>
          <w:color w:val="000000"/>
          <w:sz w:val="20"/>
          <w:lang w:val="en-US" w:eastAsia="en-US" w:bidi="ar-SA"/>
        </w:rPr>
        <w:t>Sigouin (Guardian ad litem of) v. Wong</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(1991), 10 C.C.L.T. (2d) 236</w:t>
        </w:r>
      </w:hyperlink>
      <w:r>
        <w:rPr>
          <w:rFonts w:ascii="arial" w:eastAsia="arial" w:hAnsi="arial" w:cs="arial"/>
          <w:color w:val="000000"/>
          <w:sz w:val="20"/>
          <w:lang w:val="en-US" w:eastAsia="en-US" w:bidi="ar-SA"/>
        </w:rPr>
        <w:t xml:space="preserve"> Melvin J. stated at p. 281: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award [for future care] must not take the form of retribution or punishment of the tortfeasor, but should reflect the needs of the plaintiff as demonstrated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appropriate to begin this analysis with some observations regarding the plaintiff's needs and the purposes for which services and care are being put into place. There is little dispute between the parties here. They are concisely and accurately summarized by Dr. Stewart in her October 9, 2013 report at p. 13, where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 will require long term case management, monitoring and intervention to ensure that he maintains his health, his home, his mental health, his finances and his social and community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medical evidence generally, and particularly that of the neuropsychologists, physiatrists and occupational therapists, identifies the types of services that may be appropriate to address those needs. With that, the parties agree that there is a need for a one-on-one rehabilitation assistant, counselling, vocational consultation, occupational therapy, home maintenance, health maintenance and conditioning. The dispute in respect of these items of future care is as to the level of service. The parties disagree as to whether speech and language therapy, transportation and gym passes are properly provided for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is no doubt that the plaintiff at the time of trial, relies heavily on his mother and girlfriend. They assist with most instrumental activities of daily living. The defence argues that Nancy Hermanson and Joleen Chorney do more than is necessary for the plaintiff. I comment on this below in dealing with the in-trust claims, but generally I conclude that the plaintiff does require considerable assistance. Nancy Hermanson was accurately described by Dr. Schmidt as under-reporting at points in time, but the reality of her son's situation was recognized by her during her evidence at trial. I find that evidence of Nancy Hermanson to be compelling. In part, this is because I find her to be a credible and reliable witness. In addition, her evidence is corroborated by the reports of the neuropsychologists, neuropsychiatrists and the physiatrists. Those reports identify and/or predict the very deficits that she describes from this serious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must be recognized, however, that the manner in which Ms. Hermanson or Ms. Chorney address the plaintiff's needs is quite different than how the services would be delivered by a professional under the guidance of a case manager. The former is woven into the daily routine with no separation, specific focus or identified objective. The latter professionally delivered service would come from individuals with specialized skills attending with agendas, time lines, accountability and performance measures. In addition, the plaintiff's relationship with professionals would obviously be qualitatively different. These differences make it unrealistic to use estimates of the time spent assisting the plaintiff given by Ms. Hermanson and Ms. Chorney as a measure for what professional time would be required. In addition, their estimates are just that. No method of recording time spent was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Each party relies, in part, on reports of physiatrists to support their positions as to the extent of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Stewart for the plaintiff says in her report at p.13: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unlikely given his history to date that Mr. Hermanson would be able to live independently without a lot of support. It is evident that he has already abandoned some strategies he learned earlier to compensate for his memory problems, such as putting his belongings in a consistent place. He depends on his mother for reminders and for the management of his money. He is socially isolated and spends most of his time in solitary passive pursuits (playing X-box and watching movies)...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Travlos for the defence includes in his opinions on the issue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Hermanson has plateaued in his neurologic and functional recovery and, although he can be guided to maintain and manage his life, further therapies and interventions are not expected to improve on his level of function and, therefore, there is no further need for ongoing rehabilitative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Stewart has indicated that Mr. Hermanson sustained a severe head injury, which I certainly agree with. She indicated that he is not likely to live independently without a lot of support. In my previous report, I indicated that he had not demonstrated the capacity to live independently, but he had yet to demonstrate this lack of ability or indeed the capacity to do so. However, I thought he would need some structured assistance and support to return to independent living if this was desired and, therefore, it is a matter of just how much assistance that he is going to need that is in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Landy has provided a Life Care Plan that entails a lot of additional assistance, a lot of which I do not agree with. For example, Mr. Hermanson is functioning reasonably well now without one-to-one rehabilitation eight hours per week and would not be expected to, in fact, tolerate that amount of additional assistance on a weekly basis. If he was to move out of his parents' home and if he was to live independently, then he would require some one-on-one treatment for a period of time, which I would not expect to be more than four hours per week at most. Alternatively, he could be living in a group home environment where he would not require much other than the group home environment to support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another report, he challenges the number of hours for the various services that have been compiled by Ms. Landy. He says that her recommendations for rehabilitation assistance, psychological counselling, kinesiology, and case management are excessive. The defence characterized it this way in their written argument:</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recommendations call for unrelenting, non-decreasing amounts of excessive help. The involvement of caregivers should be judiciously tailored with a focus on specific attainable goals. The less interference in his life and with his independence, the better it will be for the plaintiff in the long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Stewart has this to say of Dr. Travlos'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this opinion, I would dispute Dr. Travlos' opinion that Mr. Hermanson is functioning reasonably well. In fact, he requires a lot of guidance on a daily basis and this is provided by his mother. Mr. Hermanson has demonstrated an inability to sustain compensatory strategies for his memory problems and requires assistance for the management of his money. He is socially isolated and has proven unable to sustain an exercise program on his own. There is a general consensus among examiners that he is not competitively employable. He is at risk of significant depression if his insight into his deficits increases. For all of these reasons it is my opinion that the level of intervention recommended by Ms. Landy is justified. If Mr. Hermanson moves out of his parents' home he will require considerable support, in an increased rather than a decreased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general, she supports her opinion by saying that brain injured persons, such as the plaintiff, can deteriorate rapidly without sufficient support. Dr. Schmidt made similar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Dost concludes that the plaintiff can live independently because he can drive. Specifically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 total of these neuropsychiatric deficits would not preclude him from his basic or instrumental activities of daily living. Indeed, he is now operating a motor vehicle unrestricted, which is the most demanding of the basic and instrumental activities of daily living, thereby defining his minimal level of memory, processing speed, multitasking, attention, forethought, judgment, eye/hand coordination and visuospatial abilities. Since he is able to complete this unsupervised, there is no reasons he cannot complete his basic or instrumental activities of daily living unsupervised.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Cameron that the Plaintiff cannot live independently. This position is illogical since this gentleman operates a motor vehicle independently. This requires a high level of cognitive function, awareness, judgment and insight at a level which would permit independent living. It is not reasonable to state that he is safe to drive in an environment in which not only is he at risk but the general population is at risk should his cognition fail yet state he cannot live independently because he is a safety risk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Stewart says that it is simply not possible to draw that direct correlation. I agree. There is no doubt driving is a complex task, but it is materially different than organizing one's life to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Several of the experts, including Dr. Smith, Dr. Cameron and Dr. O'Shaughnessy, indicate that Mr. Hermanson is at a significantly heightened risk of developing psychological or psychiatric disorders. To some degree, services that have been recommended for the plaintiff are to prevent such disorders from taking root. In part, rehabilitation assistance is considered necessary to ensure that Mr. Hermanson is looking after himself and that any precursors of problems can be identified at an early stage. In addition, it is a principal reason why having a job coach available to assistant him in finding placements for supportive employment is considered necessary. Those positions of employment are not focussed on remuneration but rather on benefitting the plaintiff psychologically and giving him purpose. Dr. Smith articulates this effectively in the quote in paragraph 45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need for counselling is established. The appropriate amount is far more subjective.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its written submission, the defence produced the following table: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25" type="#_x0000_t75" style="width:398.25pt;height:433.5pt">
            <v:imagedata r:id="rId58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produced the following table in its argument: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26" type="#_x0000_t75" style="width:396.75pt;height:383.25pt">
            <v:imagedata r:id="rId584" o:title=""/>
          </v:shape>
        </w:pict>
      </w:r>
      <w:r>
        <w:rPr>
          <w:rFonts w:ascii="arial" w:eastAsia="arial" w:hAnsi="arial" w:cs="arial"/>
          <w:sz w:val="20"/>
          <w:lang w:val="en-US" w:eastAsia="en-US" w:bidi="ar-SA"/>
        </w:rPr>
        <w:t xml:space="preserve">  </w:t>
      </w:r>
      <w:r>
        <w:pict>
          <v:shape id="_x0000_i1127" type="#_x0000_t75" style="width:369.8pt;height:586.58pt">
            <v:imagedata r:id="rId585" o:title=""/>
          </v:shape>
        </w:pict>
      </w:r>
      <w:r>
        <w:pict>
          <v:shape id="_x0000_i1128" type="#_x0000_t75" style="width:396.75pt;height:324.75pt">
            <v:imagedata r:id="rId586"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provision for the contingency reserve and the taxi allowance do not come from Ms. Landy's report. The plaintiff argues that they are nonetheless justified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contingency reserve is proposed by the plaintiff on the basis that the plaintiff's situation will deteriorate with age and his needs will increase. While some of the experts reference that possibility, those observations were known to Ms. Landy at the time she made her report. In addition, the very experts who made the observations endorsed her recommendations. I infer that they balanced the prospective deterioration with the potential that there would be other periods when care needs would be less. They were not asked about the need for a contingency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Those that did not agree with Ms. Landy, specifically Dr. Travlos, say the levels suggested are excessive as presented even without such a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amount suggested is arbitrary and represents a 20 to 25-percent addition. I struggle with this proposition given the lack of any endorsement by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argument for a taxi allowance is based on evidence from Dr. Cameron and Dr. Travlos that indicates the plaintiff's brain injury leaves him with less capacity to compensate for the normal effects of aging on the brain that everyone experiences. (See also para. 27 above referencing "early post traumatic cerebral atrophy".) The specific connection of this aging effect to driving arose in the cross-examination of Dr. Cameron. The plaintiff says that he may as a result find himself unable to drive much earlier in life than otherwise would be the case. In argument, he says an allowance for $100,000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specific proposition of a taxi allowance was not, however, commented on by any expert, including Dr. Cameron. It ignores the prospects of public transportation. Again, based on the evidence, it is a proposition that is not well supported or developed in the evidence. There is little question though that if the plaintiff loses his ability to drive, it would have a significant negative impact of his psychological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do not intend to do a detailed analysis of the differences in the actuarial approaches taken by the plaintiff's and defendants' actuaries since the result here must be an assessment. There are simply too many unknowns and variables to make any calculation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reports and evidence of Dr. Smith, Dr. Stewart, Garth Mercer, Dr. Miller and Dr. Schmidt all, from their own perspective, echo the need for a more intensive version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reports of Ms. Smith and Ms. Landy vary dramatically.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Ms. Smith's opinion contains recommendations for ongoing costs for a fitness pass, case management kinesiology and home maintenance. When added to one-time allowances for occupational therapy and vocational assessment, the net present value of her recommendations is $113,166. In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Ms. Smith indicated that she relied heavily on the plaintiff's self-report to determine his needs. Given all the evidence as to the plaintiff's lack of insight and generally as to his needs, this is not appropriate. It is of note that the defence does not put any emphasis on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noted by the defence, one of the most financially significant disputes relates to the nature and extent of rehabilitation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argument, the defence points to specific examples of things the plaintiff can do or has done at times and says that these items of success show that the more intensive future care is unnecessary. Examples are set out in their argument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Hermanson has been at home alone both in Salmon Arm and Kamloops on numerous occasions and never brought any harm on to himself.</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Hermanson drives unsupervised and is considered by those close to him (Mrs. Hermanson, Dylan Burton, and Jolene Chorney) as being a safe driver and has not harmed himself.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made his way from Salmon Arm to Vancouver to attend at medical appointments including overnight stays in Kelowna and in Vancouver and has never harmed himself.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Hermanson has safely handled rifles while hunting, at target practice, skeet shooting, and while attending the shooting range.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passed his course work and his written examination for his Firearm License in September 2013 and went to the shooting range thereafter all with the knowledge of his stepfather, Doug Vandenburg (using the rifle kept in the family home which was given to him by Mr. Vandenburg)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handled work tools at his various post-Accident jobs and never harmed himself.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has worked in hazardous environments such as Canadian Tire and has never harmed himself </w:t>
      </w:r>
      <w:r>
        <w:rPr>
          <w:rFonts w:ascii="arial" w:eastAsia="arial" w:hAnsi="arial" w:cs="arial"/>
          <w:i/>
          <w:color w:val="000000"/>
          <w:sz w:val="20"/>
          <w:lang w:val="en-US" w:eastAsia="en-US" w:bidi="ar-SA"/>
        </w:rPr>
        <w:t>(Mr. Darin Kurucz transcript, page 29, lines 8 to 14)</w:t>
      </w:r>
      <w:r>
        <w:rPr>
          <w:rFonts w:ascii="arial" w:eastAsia="arial" w:hAnsi="arial" w:cs="arial"/>
          <w:color w:val="000000"/>
          <w:sz w:val="20"/>
          <w:lang w:val="en-US" w:eastAsia="en-US" w:bidi="ar-SA"/>
        </w:rPr>
        <w:t>.</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gone to the gym unsupervised on a fairly consistent basis and has never harmed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Having regard to the whole of the evidence and the expert evidence that provides insight into the subtleties of such severe brain injuries, the defence position is not accepted. The plaintiff's situation is complex and extrapolating from individual tasks that the plaintiff can do while under the umbrella of supervision by his mother and Ms. Chorney to the position advanced by the defence is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accept the plaintiff's expert evidence, including that of Dr. Cameron, Dr. Schmidt, Mr. Mercer and Dr. Stewart, regarding the risks to the plaintiff's overall health if not monitored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must also be recognized that the plaintiff is still young and living at home. It is apparent from his evidence and the evidence generally that the realization that his life is not evolving in the same way as friends is setting in. As time goes on, the divergence between his life's path and that of his friends may take its toll on his psychological health. The risk that he may not be able to maintain his friendships and other relationships, such as with Ms. Chorney, and that he will not be working in the competitive environment all make the potential for increased care needs very real. It is this future that the medical experts warn of. In my view, their concerns are well-founded. Several experts, including Dr. Schmidt, Dr. Cameron and Dr. Travlos, identified and foreshadowed the types of problems those with severe traumatic brain injury, including the plaintiff, commonly encounter. This lends credibility to those who have seen the plaintiff demonstrate some of those problems already. It also informs me regarding the future. It is, however, a long future that will evolve in its own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role of a case manager is to monitor what services are needed, ensuring the plaintiff understands and is receptive to when and from whom the services would come. Undoubtedly, those needs will ebb and flow over the years. Effective case management should allow for some moderation of service costs from what Ms. Landy has recommended, as that manager can monitor needs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indicated, the most significant future care item is the rehabilitation assistance ("RA"). The defence argument stresses the things that the plaintiff has or can do, in order to support their position that far less RA resources are justified and can be provided remotely much of the time. These arguments are not entirely without merit, but they do not support the significantly reduced services argued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things the plaintiff can do must be placed in context. For example, the fact that the plaintiff has succeeded in obtaining some employment is a positive, but none of those jobs have lasted and all employers noted the deficits. The plaintiff has not hurt himself when left alone, but he is not living independently and has not managed his instrumental activities of daily living. The extrapolation the defence urges is not supported by the evidence. Another example is driving where, again, the defence and Dr. Dost say supports conclusions about living independently that I simply do not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noted, all of this makes a mathematical calculation on the award for costs of future care impossible. As a result, I will not spend a great deal of time dissecting the individual line items set out in the tables above. It does, however, inform my assessment and provide some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Before making that assessment, I will address some other specific issues raised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First is the allowance made by Ms. Landy for travel expense for the rehabilitation assistant. She is firmly of the view that a rehabilitation assistant must meet personally with Mr. Hermanson. The defence is of the view that only some of the meetings must be in person and that others can be dealt with remotely by phone or video link, such as Skype. The defence also notes that Mr. Hermanson may reside in an area where rehabilitation assistants maintain businesses, and therefore much of the travel may be eliminated in that way. It is my conclusion that a case manager can monitor these possibilities and that it is reasonable to moderate the costs projections based on them. Communities do generally grow over time and with that comes more service availability. Moves by the plaintiff over his lifetime are certainly possible, although one cannot predict if that might be to larger or smaller communities. Again, it is not possible to be mathematical in making any of these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Speech and language therapy is proposed by Ms. Landy. Dr. Travlos says that the problems the plaintiff is left with cannot be solved, and therefore there is no reason for counseling with regard to them. The plaintiff struggles with clarity as he tires. There are strategies that he can employ, and it is reasonable for him to receive some occasional therapy to ensure he can manage the problem. To date, the plaintiff has shown that he may forget or at least stop using compensatory strategies that he is given. The amount at issue is modest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is general agreement that the plaintiff needs to maintain his physical fitness. Again, giving him occasional guidance to ensure he is doing this in an appropriate and safe manner is reasonable. The defence says that an allowance for a gym pass is not justified as it is a expense the plaintiff had been and would continue to incur in any event of the injury. This proposition has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is impossible to predict all that will occur. It would not be consistent with the established authorities to make assumptions that are overly optimistic. If services are underfunded, the risk of the plaintiff's functioning declining and a viscous circle of inadequate response causing further decline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This is a difficult balancing process involving compensation to cover many years of care with many unknowns. However, it is my conclusion that balancing all of the authorities and the evidence in this case, a proper assessment is $650,000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their written submission, the defence says:</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in-trust award should not be made for services that the plaintiff received that would reasonably have been provided out of natural love and affection of family members. Compensation should only be provided when the services provided extend above and beyond what would reasonably be expected from the family relationship.</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 xml:space="preserve"> at paras. 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 at para. 50, where the court adopted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damages are to be awarded for voluntary services performed by third parties including family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the court reviewed the factors to consider in the assessment of an "in trust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94 The subject of "in trust" claims has been given considerable attention in recent years, including, particularly, where the services in question have been rendered within the perspective of a husband/ wife relationship or by a child or relative of the family...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95 In my view, it is useful to review briefly the factors which are considered in the assessment of such claims. They are:</w:t>
      </w:r>
    </w:p>
    <w:p>
      <w:pPr>
        <w:numPr>
          <w:numId w:val="2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2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2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noted above, the plaintiff's approach is to break the estimated time spent by Ms. Hermanson and Ms. Chorney into several periods. They then apply an hourly rate of $45 per hour for the services provided to the estimates of the time spent by each of them during each of the time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first problem with that approach is the hourly rate. It was drawn from rates quoted to ICBC for rehabilitation services for rehabilitation assistants. By their own evidence, much of what Ms. Chorney and Ms. Hermanson did for the plaintiff was in the form of housekeeping or driving. A specially qualified rehabilitation assistant would not be performing such functions. The market rate for such services would be less. There is no specific evidence as to what those rates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addition, the estimates of time are just that. It is very difficult to separate out the time spent that meets the criteria set out in the authorities from that which would be expected out of natural love and affection. As noted above in the discussion of the future care claim, those tasks that may be compensable are naturally woven into the daily routine with those that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Turning specifically to Ms. Hermanson, the plaintiff argued that one of the time periods to be incorporated is the vigil in the hospital. Ms. Hermanson spent many hours at the Kamloops hospital monitoring the plaintiff. This was a product of the love and concern of a mother and is entirely understandable. There is no evidence, however, to support that it was a necessary service or that it was replacing a service that otherwise would have been paid for. The plaintiff was in a hospital receiving very good and appropriate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Since the plaintiff's discharge from hospital, the defence argues that both Ms. Hermanson and Ms. Chorney do more than is needed or appropriate. Generally, I do not agree. It may well be that professional delivery of the services would have been more effective at incorporating learning objectives and strategies, but that does not make what they did unnecessary. In addition, the line between that which is compensable in this claim and that which "would reasonably have been provided out of natural love and affection of family members" is not an easy one to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will not repeat what I have said earlier regarding what Ms. Hermanson and Ms. Chorney have done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my view, an award of $15,000 for Nancy Hermanson and $7,500 for Joleen Chorney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Through my assessments set out above, I have come to the following conclusions: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awarded for loss of earning capacity is $1,800,000;</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awarded for the cost of future care is $650,000;</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amount awarded for in-trust claims is $22,500.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This comes to a total award of $2,472,500.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Subject to any issues affecting entitlement to costs or scale of costs, the plaintiff is entitled to his costs at Scale B. If there are any issues, either party is at liberty to bring the matter before me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Hochsteiner v. Kilback, [2013] B.C.J. No. 1618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33268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E.T.R. (3d) 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230 A.C.W.S. (3d) 882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2247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Albin Berglund Hochsteiner, Plaintiff, and Melvin Kilback,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20"/>
      <w:bookmarkEnd w:id="138"/>
      <w:r>
        <w:rPr>
          <w:rFonts w:ascii="arial" w:eastAsia="arial" w:hAnsi="arial" w:cs="arial"/>
          <w:b/>
          <w:color w:val="000000"/>
          <w:sz w:val="20"/>
          <w:lang w:val="en-US" w:eastAsia="en-US" w:bidi="ar-SA"/>
        </w:rPr>
        <w:t>Civil litigation — Limitation of actions — Extension, interruption, suspension and inapplicability — Fraud — Action by hunter and guide for one-half interest in Guide Outfitters Certificate registered in defendant's name and return of four mounts allowed — All evidence, including defendant's own testimony in other proceedings, established defendant only purchased one-half interest in certificate as plaintiff was silent partner in arrangement with former registrant that continued with defendant — Defendant held one-half interest in resulting trust for plaintiff; plaintiff's interest was worth $150,000 — As defendant's actions were mala fides, limitation period did not begin to run until fraud was discovered in 2006 — Given defendant's lack of credibility, plaintiff's evidence accepted about mounts.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Hunting and trapping — Licensing and registration — License types — Outfitter and hunting guide services — Hunting and trapping ground — Crown lands — Action by hunter and guide for one-half interest in Guide Outfitters Certificate registered in defendant's name and return of four mounts allowed — All evidence, including defendant's own testimony in other proceedings, established defendant only purchased one-half interest in certificate as plaintiff was silent partner in arrangement with former registrant that continued with defendant — Defendant held one-half interest in resulting trust for plaintiff; plaintiff's interest was worth $150,000 — As defendant's actions were mala fides, limitation period did not begin to run until fraud was discovered in 2006 — Given defendant's lack of credibility, plaintiff's evidence accepted about mounts.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Trusts — Resulting trusts — Intention — The trustee — Breach of trust — Actions against — Action by hunter and guide for one-half interest in Guide Outfitters Certificate registered in defendant's name and return of four mounts allowed — All evidence, including defendant's own testimony in other proceedings, established defendant only purchased one-half interest in certificate as plaintiff was silent partner in arrangement with former registrant that continued with defendant — Defendant held one-half interest in resulting trust for plaintiff; plaintiff's interest was worth $150,000 — As defendant's actions were mala fides, limitation period did not begin to run until fraud was discovered in 2006 — Given defendant's lack of credibility, plaintiff's evidence accepted about mounts.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20"/>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wild game hunter and guide for a one-half interest in the Guide Outfitters Certificate registered in the defendant's name and the return of four mounts in the defendant's possession. The plaintiff held a guide outfitters license since the 1960s, giving him the exclusive right to hunt cougar, black bear and mule deer in the territory adjacent to the subject territory. At that time, the legislation permitted a guide outfitter to hold only one certificate or license at one time. The plaintiff and Starky were good friends. Starky approached the plaintiff in 1975 about jointly purchasing a certificate for the subject land, which would be registered with Starky since the plaintiff was already the registered holder in the adjacent territory. Starky testified he and the plaintiff were 50/50 partners. The plaintiff and Starky obtained assistant guide licenses for each other so that they were both able to hunt and guide in both territories. Other witnesses testified that this "silent partner" arrangement was common under the former legislation. In 1981, the defendant entered into an agreement with Starky to purchase his interest in the subject territory for $30,000 and Starky issued a relinquishment to the defendant in 1983. The defendant was issued a guide outfitters certificate in 1984, and it was renewed in 2001 and 2009. Both the plaintiff and defendant guided on the subject territory under Starky's license from 1979-1984. The defendant obtained an assistant guide licence for the plaintiff until 2006 and then refused to do so anymore, leading to the litigation. Starky testified his agreement with the defendant was that the defendant would qualify for a license and obtain experience as a guide and then purchase Starky's one-half interest. Starky testified the defendant knew about the arrangement with the plaintiff and agreed it would continue. The plaintiff was not party to the negotiations but testified he did not object to Starky selling his interest since he expected the silent partnership to continue with the defendant. The defendant claimed the parties negotiated price only and the plaintiff was never mentioned or involved. However, in the defendant's evidence in both a criminal trial and family litigation, he testified the plaintiff was a silent partner under the arrangement described by both the plaintiff and Starky. The defendant argued the plaintiff did not come to court with clean hands because he knew the agreement was contrary to the legislation that time, and the limitation period had expired.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7"/>
            <w:bookmarkEnd w:id="14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made clear admissions in prior proceedings that the plaintiff was the owner of a one-half interest, leaving no doubt his defence was without merit. There was no dishonesty on the plaintiff's part as the defendant was fully aware of the silent partner arrangement. The plaintiff was not a party to the agreement between the defendant and Starky, but the defendant only purchased Starky's one-half interest, so held the other half in resulting trust for the plaintiff. The defendant's actions constituted mala fides as he had violated the spirit of the bargain and s. 6(1) of the Limitations Act applied, so the running of the limitation period was postponed until the plaintiff was aware of the defendant's conversion in 2006. The action was not out of time. There would be no injustice to the defendant, whose retained value was not rendered useless. The value of the plaintiff's interest was $150,000. Given the defendant's lack of credibility, the plaintiff's claim he gave four mounts to the defendant for safe keeping only was accepted and the defendant was to return them.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5"/>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Guiding Regulations, BC Reg. 229/73, s. 11,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CHAPTER 266, s. 3(3), s. 3(5), s. 4, s. 6(1), s. 6(2), s. 6(3), s. 6(4), s. 6(5), s. 6(6),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Unemployment Insurance Act, </w:t>
      </w:r>
      <w:hyperlink r:id="rId596" w:history="1">
        <w:r>
          <w:rPr>
            <w:rFonts w:ascii="arial" w:eastAsia="arial" w:hAnsi="arial" w:cs="arial"/>
            <w:i/>
            <w:color w:val="0077CC"/>
            <w:sz w:val="20"/>
            <w:u w:val="single"/>
            <w:shd w:val="clear" w:color="auto" w:fill="FFFFFF"/>
            <w:lang w:val="en-US" w:eastAsia="en-US" w:bidi="ar-SA"/>
          </w:rPr>
          <w:t>R.S.C. 1985, c. U-1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Wildlife Act, </w:t>
      </w:r>
      <w:r>
        <w:rPr>
          <w:rFonts w:ascii="arial" w:eastAsia="arial" w:hAnsi="arial" w:cs="arial"/>
          <w:i/>
          <w:color w:val="000000"/>
          <w:sz w:val="20"/>
          <w:lang w:val="en-US" w:eastAsia="en-US" w:bidi="ar-SA"/>
        </w:rPr>
        <w:t>RSBC 1996, CHAPTER 488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Wildlife Act, S.B.C. 1982, c. 57, s. 57, s. 67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0"/>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M.D.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J.P. Young.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3"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R.W. JENKINS J."/>
            <w:bookmarkEnd w:id="144"/>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Albin Hochsteiner has gained a reputation over many years as an outstanding wild game hunter and guide, especially in the pursuit of cougars and bears. He is known to hunt with his well-trained hounds in the southern interior of British Columbia. Mr. Hochsteiner is now 72 years old and is winding down his long career as a guide and outfitter for hunters pursuing wild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Mr. Hochsteiner is claiming a one-half interest in a Guide Outfitters Certificate issued by the Fish and Wildlife Branch under the provisions of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488</w:t>
      </w:r>
      <w:r>
        <w:rPr>
          <w:rFonts w:ascii="arial" w:eastAsia="arial" w:hAnsi="arial" w:cs="arial"/>
          <w:color w:val="000000"/>
          <w:sz w:val="20"/>
          <w:lang w:val="en-US" w:eastAsia="en-US" w:bidi="ar-SA"/>
        </w:rPr>
        <w:t>. That certificate is registered in the name of the defendant, Melvin Kilback. He is also seeking an order for the return of certain "mounts" of wildlife, which he claims as belonging to him and are in the possession of the defendant who has refused to return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opening of the trial, counsel provided the court with an Agreed Statement of Facts which is helpful in explaining the statutory regime for the issuance of outfitter licences and permits and also sets out the background of events which have lead the parties to court. That Agreed Statement of Facts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STATEMENT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trial of this action, the Plaintiff and the Defendant agree and admit that: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be licenced as a Guide Outfitter in British Columbia pursuant to the current </w:t>
      </w:r>
      <w:r>
        <w:rPr>
          <w:rFonts w:ascii="arial" w:eastAsia="arial" w:hAnsi="arial" w:cs="arial"/>
          <w:color w:val="000000"/>
          <w:sz w:val="20"/>
          <w:u w:val="single"/>
          <w:lang w:val="en-US" w:eastAsia="en-US" w:bidi="ar-SA"/>
        </w:rPr>
        <w:t>Wildlife Act</w:t>
      </w:r>
      <w:r>
        <w:rPr>
          <w:rFonts w:ascii="arial" w:eastAsia="arial" w:hAnsi="arial" w:cs="arial"/>
          <w:color w:val="000000"/>
          <w:sz w:val="20"/>
          <w:lang w:val="en-US" w:eastAsia="en-US" w:bidi="ar-SA"/>
        </w:rPr>
        <w:t xml:space="preserve"> and regulations thereunder (the "Act"), one must: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a citizen or permanent resident of Canada;</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public liability insurance applicable to the Guide Outfitter's guiding business in an amount prescribed by regulation (currently $2,000,000.00);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satisfy a regional manager that one possesses a working knowledge of the Act.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licenced, a Guide Outfitter: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for compensation or reward, accompany and assist another person, including a non-resident alien, to hunt wildlife;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guide persons to hunt only for those species of game and in the area described in the Guide Outfitter's Licence;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area described in the Guide Outfitter's Licence includes territory assigned in a Guide Outfitter's Certificate (also known as a Guiding Territory Certificate), one must have the consent of the current holder of the Guide Outfitter's Certificate.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licenced as an Assistant Guide in British Columbia, one must: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a citizen or permanent resident of Canada;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19 years of age or older;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one's licence as an Assistant Guide endorsed with the signature of the Guide Outfitter who employs the Assistant Guide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Act, a Guide Outfitter's Certificate: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issued to a person who, or to a group of persons each of whom, is a citizen or permanent resident of Canada, is 19 years of age or older, and has such other qualifications as may be prescribed by regulation;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the holder the exclusive control over guiding privileges in the area described in the Certificate for the period stated therein, not to exceed 25 years;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part of the estate of the holder and may be transferred by the holder's personal representative, within two years of the holder's death, to a person who qualifies for a Guide Outfitter's Certificate.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the sole director, officer, shareholder and operating mind of Kettle River Guides &amp; Outfitters Ltd., which was incorporated on August 4, 1987.</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21, 1975, Brian Starky ("Starky") was issued a Guide Outfitter's Certificate granting the exclusive right to guide hunters of certain species of game with an area described as "The main Kettle River drainage, not including the West Kettle River, including all the intervening territory except private property, Federal and Provincial Parks" (hereinafter called the "Subject Guide Territory").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Management Unit Regulation under the Act, the Province of British Columbia is divided into 225 wildlife management units.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Guide Territory comprises approximately 2,600 square miles and consists of management units 8-12, 8-13 and 8-14.</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species of game that may be hunted on the Subject Guide Territory include cougar, bear, elk, moose, mule and whitetail deer, bobcat, lynx, turkey, wolf and small game including upland game birds.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mid-1960's, the Plaintiff has held a Guide Outfitter's Licence giving him the exclusive right to hunt cougar, black bear and mule deer in a territory adjacent to the Subject Guide Territory consisting of management units 8-01, 8-02, 8-03, 8-06, 8-07, 8-08 and 8-09, (the "Kobau Territory'').</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entered into an agreement with Starky for the purchase of an interest in the Subject Guide Territory, the date, nature and extent of which is in issue in this action. By agreement, the purchase price of $30,000.00 was paid in three annual installments of $10,000.00 each.</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existing documentation as to the terms of the Defendant's agreement with Starky.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 1983, Starky executed a Relinquishment of the Subject Guide Territory in favour of the Defendant.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10, 1984, a Guide Outfitter's Certificate was issued to the Defendant in respect of the Subject Guide Territory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Guide Outfitter's Certificate was subsequently renewed on January 17, 2001 and on April 1, 2009, under Certificate No. 800222, the latter of which remains in effect until March 31, 2019.</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1979 until March 10,1984, when the Defendant acquired his Guide Outfitter's Certificate, both the Plaintiff and the Defendant guided the Subject Guide Territory with Assistant Guide Licences under Starky's Guide Outfitter's Licence.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licence year for both Guide Outfitter's Licences and Assistant Guide Licences runs from April 1 in any year to March 31 of the following year, and the Guide Outfitter is responsible for securing licences for Assistant Guides under his or her Guide Outfitter's Licence.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applied for and obtained an Assistant Guide Licence for the Plaintiff for each year from April 1, 1984 to and including March 31, 2006.</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renew the Plaintiffs Assistant Guide Licence for the year commencing April 1, 2006.</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Starky was issued his Guide Outfitter's Certificate in </w:t>
      </w:r>
      <w:r>
        <w:rPr>
          <w:rFonts w:ascii="arial" w:eastAsia="arial" w:hAnsi="arial" w:cs="arial"/>
          <w:color w:val="000000"/>
          <w:sz w:val="20"/>
          <w:u w:val="single"/>
          <w:lang w:val="en-US" w:eastAsia="en-US" w:bidi="ar-SA"/>
        </w:rPr>
        <w:t>1975,</w:t>
      </w:r>
      <w:r>
        <w:rPr>
          <w:rFonts w:ascii="arial" w:eastAsia="arial" w:hAnsi="arial" w:cs="arial"/>
          <w:color w:val="000000"/>
          <w:sz w:val="20"/>
          <w:lang w:val="en-US" w:eastAsia="en-US" w:bidi="ar-SA"/>
        </w:rPr>
        <w:t xml:space="preserve"> and when the Defendant purchased Starky's interest in the Subject Guide Territory the Guiding Regulations (BC Reg 229/73) under the former </w:t>
      </w:r>
      <w:r>
        <w:rPr>
          <w:rFonts w:ascii="arial" w:eastAsia="arial" w:hAnsi="arial" w:cs="arial"/>
          <w:color w:val="000000"/>
          <w:sz w:val="20"/>
          <w:u w:val="single"/>
          <w:lang w:val="en-US" w:eastAsia="en-US" w:bidi="ar-SA"/>
        </w:rPr>
        <w:t>Wildlife Act</w:t>
      </w:r>
      <w:r>
        <w:rPr>
          <w:rFonts w:ascii="arial" w:eastAsia="arial" w:hAnsi="arial" w:cs="arial"/>
          <w:color w:val="000000"/>
          <w:sz w:val="20"/>
          <w:lang w:val="en-US" w:eastAsia="en-US" w:bidi="ar-SA"/>
        </w:rPr>
        <w:t xml:space="preserve"> provided that: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only one guiding territory shall be held by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Guide Outfitter at any one time (section 11); and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one Guide Outfitter's Certificate shall be held by a Guide Outfitter at any one time (section 19).</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Defendant was issued a Guide Outfitter's Certificate on March 10, 1984, the Guiding Regulations had been replaced by the </w:t>
      </w:r>
      <w:r>
        <w:rPr>
          <w:rFonts w:ascii="arial" w:eastAsia="arial" w:hAnsi="arial" w:cs="arial"/>
          <w:color w:val="000000"/>
          <w:sz w:val="20"/>
          <w:u w:val="single"/>
          <w:lang w:val="en-US" w:eastAsia="en-US" w:bidi="ar-SA"/>
        </w:rPr>
        <w:t>Wildlife Act</w:t>
      </w:r>
      <w:r>
        <w:rPr>
          <w:rFonts w:ascii="arial" w:eastAsia="arial" w:hAnsi="arial" w:cs="arial"/>
          <w:color w:val="000000"/>
          <w:sz w:val="20"/>
          <w:lang w:val="en-US" w:eastAsia="en-US" w:bidi="ar-SA"/>
        </w:rPr>
        <w:t>, SBC 1982, c.57, which provided that: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may be licenced as a Guide Outfitter for only one guiding territory, as described in his licence (section 57);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one Guide Outfitter's Licence or Certificate shall be held by a person at one time (section 67, subsequently renumbered as section 66).</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57 and 66 of the Act were repealed on June 15, 2009.</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currently permits: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guide outfitter to hold more than one Guide Outfitter's Certificate;</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guide outfitter to guide on more than one guide territory, if he or she holds more than one Guide Outfitter's Certificate or has the required consent of a Certificate holder; and</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one person to be named as holder of a Guide Outfitter's Certificate</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was a witness at the criminal trial of Errol "Ticker" Quintal on October 12, 1990, at the conclusion of which Errol "Ticker" Quintal was convicted of making statement that he knew to be false or misleading in relation to a claim for benefits under the </w:t>
      </w:r>
      <w:r>
        <w:rPr>
          <w:rFonts w:ascii="arial" w:eastAsia="arial" w:hAnsi="arial" w:cs="arial"/>
          <w:color w:val="000000"/>
          <w:sz w:val="20"/>
          <w:u w:val="single"/>
          <w:lang w:val="en-US" w:eastAsia="en-US" w:bidi="ar-SA"/>
        </w:rPr>
        <w:t>Unemployment Insurance Act</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party to matrimonial litigation between 1991 and 1993. John R. Cooper was the Defendant's family law counsel in that litigation and prepared the legal documents in respect of that litigation on the Defendant's behalf.</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R. Cooper's matrimonial file no longer exists and he has no current recollection of the matter.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Guide Territory has a current fair market value of $300,000.00.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Portions of the Agreed Statement of Facts, in particular paras. 24 to 26, require some explanation which I will provide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primary issue in this case is the claim of the plaintiff that he is the owner of a one-half interest in the Guide Outfitter Certificate to the Subject Guide Territory which is often referred to as the "Kettle River Drainage territory". The plaintiff alleges the Certificate, which has been registered with the Wildlife Branch in the name of the defendant since 1984, is held by the defendant in his own right and in trust for the plaintiff as tenants in common. It is therefore necessary to review the facts surrounding the original purchase of the Certificate by Mr. Starky and Mr. Hochsteiner in or about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Starky has been a good friend of the plaintiff for many years. In 1975 Mr. Starky approached the plaintiff to jointly purchase the Guide Outfitter's Certificate for the Subject Guide Territory. At the time, the certificate was held by John Carson, a resident of Grand Forks, who was interested in selling the Certificate in issue as he planned to purchase and become registered for the Certificate for the Granby territory near Grand Forks.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Carson testified at the trial and stated that he and Mr. Starky reached an agreement under which both Mr. Starky and Mr. Hochsteiner would each pay $5,000 to Mr. Carson for the certificate for the Subject Guide Area. He agreed to continue to work with Mr. Starky and Mr. Hochsteiner for between six months to a year in the Subject Guide Territory on hunts that had previously been arranged by him. The Certificate for the Subject Guide Area was to be transferred to Mr. Starky due to Mr. Hochsteiner already being the registered holder of a certificate for the Kobau territory and the regulation in effect at the time that a person could only hold one Guide Outfitter's Certificate. Mr. Carson understood, based upon his negotiations, that both Mr. Starky and Mr. Hochsteiner would jointly own the certificate. In effect, the certificate would be held in trust by Mr. Starky for both himself and for Mr. Hochsteiner.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Mr. Starky and Mr. Hochsteiner testified and confirmed the arrangement between them which they had communicated to Mr. Carson. At trial, Mr. Starky, when referring to Mr. Hochsteiner said "both of us hunted cougar and bear and he [Mr. Starky] a bit of deer. We were 50 / 50 partners. We each gave John Carson a $5,000 cheque". Mr. Starky paid the fees for the Certificate and licenses, and explained, "we paid our own expenses" and, regarding revenue: "If we both hunted we split [the revenue]. If I took out a hunter I got the money and vice versa. I and he each paid for our own equipment." I understood that although Mr. Starky and Mr. Hochsteiner did not evenly share the revenues and expenses of the operation, they both considered themselves as one-half owners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Also, because of the Regulation limiting any person to owning only one Guide Outfitter's Certificate, in order for Mr. Hochsteiner to hunt in the Subject Guide Territory, the holder of the Certificate, ie. Mr. Starky, was obliged to obtain an Assistant Guide License in the name of Mr. Hochsteiner. Mr. Starky renewed the Assistant Guide License for Mr. Hochsteiner and continued to do so during the time Mr. Starky owned the Certificate for the Subject Guide Territory, with Mr. Hochsteiner as his silent partner. Likewise, Mr. Hochsteiner obtained an annual Assistant Guide License for Mr. Starky to allow Mr. Starky to hunt in the Kobau Mountain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Clearly the Regulation allowing any person only one Guide Outfitter's Certificate encouraged the holders of certificates to include "silent partners" which, according to most of the witnesses at trial, was a commonplace practice in the business of guide outfitting.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this time, Mr. Hochsteiner's reputation as a leading cougar hunter and handler of dogs used in the cougar hunts helped to attract clients for cougar hunts. Mr. Starky and Mr. Hochsteiner were also operating other businesses at the time and so did not devote all of their working time to the guide outfitter's business. As a result, both testified that the Subject Guide Territory was underutilized during this time, which continued until 1981 when the defendant, Mr. Kilback, entered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All negotiations leading to the transfer of the Guide Outfitter's Certificate were conducted by Mr. Starky and Mr. Kilback. As was the case when Mr. Starky and Mr. Hochsteiner had negotiated with Mr. Carson, no part of the agreement was put into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Starky's description of the agreement reached between him and Mr. Kilback can be summarized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Mr. Kilback met in 1981 as Mr. Kilback was interested in developing the guide outfitting business in the Subject Guide Territory and Mr. Starky was busy in several other businesses including raising rodeo bulls and horses.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Mr. Kilback was not qualified to secure a Guide Outfitter's Certificate as he had not completed the necessary two years of working as an Assistant Guide Outfitter as required by the regulations and Mr. Kilback had not previously held a Guide Outfitter's License.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requirement for Mr. Kilback to qualify for a Guide Outfitter's License, the purchase and transfer of the Certificate for the Subject Guide Territory had to be delayed for at least two years. It was therefore agreed that during the qualification period, Mr. Kilback would work under an Assistant Guide License until he met the requirement of obtaining two years of experience as a guide.</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Mr. Starky stated to Mr. Kilback that "I told him I would sell him my share which was one-half". Later, when asked on direct whether Mr. Kilback bought "the whole guide area", Mr. Starky replied, "No, only my one-half".</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was agreed at $30,000 for the one-half interest of Mr. Starky which was payable in three equal installments of $10,000. Ultimately, each of those payments was made by Mr. Kilback. There was no negotiating over the purchase price.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why the price of a one-half interest had risen, in approximately 6 years from $5,000 to $30,000 Mr. Starky explained that prices had been on the rise and the fee for wildlife hunts and cougar hunts in particular had risen very significantly.</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Mr. Kilback had qualified to hold a Guide Outfitter's Certificate, Mr. Starky was to sign a Relinquishment of the Certificate and a new Certificate would be issued to Mr. Kilback. The Relinquishment was executed in 1983 and Mr. Kilback applied for the Certificate for the Subject Guide Area that same year. The new Certificate was eventually issued to Mr. Kilback by the Wildlife Branch in January of 1984.</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agreed as between Mr. Starky and Mr. Kilback that once the Guide Outfitter's Certificate was issued to Mr. Kilback that Mr. Kilback would continue to annually apply for an Assistant Guide License for Mr. Hochsteiner for the Subject Guide Territory.</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Starky also testified that he told Mr. Kilback of the agreement between him and Mr. Hochsteiner and it was understood that the same arrangement would continue with Mr. Kilback as holder of the Certificate. Mr. Starky also testified that he told Mr. Kilback that Mr. Hochsteiner would carry on as before and he had related to Mr. Kilback Mr. Hochsteiner's agreement to carry on with the same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stated above, Mr. Hochsteiner was not directly involved in the negotiations between Mr. Starky and Mr. Kilback. Mr. Hochsteiner testified that prior to 1981 he had met Mr. Kilback but did not know him well. Mr. Hochsteiner considered Mr. Kilback to be an "eager beaver" who had lots to learn regarding the handling of dogs. Mr. Hochsteiner also testified that Mr. Starky had come to him to ask if he objected to Mr. Starky selling his half interest to Mr. Kilback and that he did not object. He testified that he "assumed it would continue", ie. the same arrangement he had with Mr. Starky would continue. Mr. Hochsteiner received his first Assistant Guide License for the Subject Guide Territory from Mr. Kilback in May of 1984 and assumed business would carry on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 surprisingly, Mr. Kilback has a different version of the agreement he reached with Mr. Starky for purchase or assignment of the Guide Outfitter's Certificate for the Subject Guide Territory. Mr. Kilback testified that he had known and hunted with Mr. Hochsteiner while Mr. Kilback was an assistant guide with Mr. Ed Weins, who held a Certificate for another area near Keremeos. According to Mr. Kilback, it was Mr. Hochsteiner who advised him that Brian Starky had the certificate for the Kettle Valley Basin for sale. Others hunters besides Mr. Kilback were also interested in purchasing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Kilback testified that in the spring of 1979 he met Mr. Starky in Mr. Starky's home in Kosten, B.C., which is near Keremeos. He asked the price and "what came with it" and Mr. Starky replied, "30,000 but no equipment, Albin [Hochsteiner] comes along with the area and Albin would be fine with an Assistant Guide License for cougar and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Then, according to Mr. Kilback, they met again a week later for more discussion, Mr. Kilback said he could pay the $30,000 over three payments over three years and "nothing else was discussed". When asked at trial if "Mr. Starky ever said Mr. Hochsteiner was a half or co-owner?" Mr. Kilback's response was "no". He also stated he never met with Mr. Hochsteiner regarding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Also in his evidence, Mr. Kilback stated that the negotiations with Mr. Starky took place in 1979 and that it took five years from the beginning of negotiations to the eventual time of the agreement. I believe Mr. Kilback is incorrect. All of the evidence, save for Mr. Kilback's statement that the agreement took place in 1979 was consistent with the negotiations and agreement having occurred in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Kilback, upon obtaining the Guide Outfitters Certificate for the Subject Guide Territory, began doing business as Kettle River Guides &amp; Outfitters Ltd. That company was eventually struck from the register of the Registrar of Companies and ever since, the business has been known as Kettle River Guides &amp; Outfitters.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was evidence at trial, independent of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of the parties and Mr. Starky as to the terms of the agreement. That evidence, which all supports the evidence of Mr. Hochsteiner and Mr. Starky was as follows: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Kilback testified at a criminal trial on October 12, 1990 of Errol Quintal, an employee of Kettle River Guides &amp; Outfitters who was facing a charge of employment insurance fraud. A transcript of the evidence of Mr. Kilback was filed at the trial of this matter and portions of the transcript were posed to Mr. Kilback who confirmed his evidence at the trial of Mr. Quintal. The following statements from the transcript are relevant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say he worked for Albin. Who's Albin,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Albin Hochsteiner is a silent partner of mine in the guiding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When you say a silent partner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can just explain to the court what the arrangement is that you have with Albin Hochsteiner?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pu-- originally purchased the area I bought the guide certificate area, and at the time he was in partners with Brian Starkey [phonetic], who I bought the guide certificate area from. Now, the deal was that Albin would retain the assistant licence as long as I owned the area, so that's what I maintain, and Albin hunts with dogs, basically bear hunting and cougar hunting, so when we do bear hunting and cougar hunting I run the business, take the expenses, and split the money with him when he hunts.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The Accused Errol Quintal: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Kilback, in your statement on Albin, the way I understood it, were you -- you referred to him as an employee or a partner?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an employee and a partner.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which?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both.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is he an employee or is he an -- a -- a -- a partner in half of the guide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owns half the guide area, 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all right. I'd like that clear, please, Your Honour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Mr. Hochsteiner is indeed a half owner in that guide area as a silent partner.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1990 Mr. Kilback was a defendant in a divorce proceeding in this Court. In a Statement of Defence filed by his lawyer in that proceeding, Mr. Kilback's position included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 (b) The Defendant is a partner with Albin Hochsteiner of the business known as Kettle River Guides &amp; Outfitters Ltd. This business was bought by the Defendant and Albin Hochsteiner in approximately 1983. The Defendant is willing to share one-half of the value of his interest in this business with the Plaintiff during the time of the marriage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at trial Mr. Kilback first stated that the inclusion of the paragraph above was incorrect and he did not realize it was in the document, he did agree on cross-examination that his lawyer at the time was acting on his instructions.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in the divorce proceeding, Mr. Kilback instructed a Mr. Leo Ouellet, another guide outfitter and owner of Stein River Outfitters Ltd. to prepare a report to value the "Approximate Share Value of Area Hunted" which was also filed at the trial at bar. That valuation report, which was addressed to Mr. Kilback's lawyer in the divorce proceeding, included the following statement which I find was approved of by Mr. Kilback: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1980 Melvin purchased half of a territory from a Brian Starky for $30,000, and Albin held the other share, while obtaining an assistant Guide License, which was renewed every year. This area came with very few clients (hunters), and at this time there was no camps developed for guiding.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Melvin &amp; Albin guided jointly in this area, and spent a lot of money, opening up areas, and developing buildings and camps to improve the quality of hunts.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feel that an honest opinion of Melvins share of the value of animals killed in this territory would be approximately $80,000.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Because Melvin has a partner in this area, he is only entitled to claim a share of $40,000. . .</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in the divorce proceeding, in an affidavit including his financial statement, Mr. Kilback listed as an asset his interest in Kettle River Guides &amp; Outfitters Ltd. and valued his interest at $40,000, which happens to be the value of one-half of the business in accordance with the valuation undertaken by Mr. Ouellet.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of the four items above are clear admissions by Mr. Kilback that Mr. Hochsteiner was the owner of a one-half interest in the Certificate for the Subject Guide Territory. Those admissions by Mr. Kilback clearly contradict his evidence at trial that Mr. Hochsteiner was not a partner or owner in the business or the Certificate and leave me with the conclusion that there was little or no merit to the substantive defence put forward by Mr. Kilback through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Between 1984 and 2005, Mr. Kilback did renew the Assistant Guide License for Mr. Hochsteiner as had been contemplated at the time Mr. Kilback entered into the agreement with Mr. Starky. In 2006, Mr. Kilback did not renew the Assistant Guide License which ultimately led to this litigation and the end of the business relationship between Mr. Hochsteiner and Mr. Kilback.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submissions made on behalf of Mr. Kilback and after the close of submissions on behalf of Mr. Hochsteiner, counsel for Mr. Kilback informed the court, after overwhelming evidence supporting the agreement as to the arrangement as alleged by Mr. Hochsteiner and Mr. Starky, that Mr. Kilback acknowledged that Mr. Hochsteiner is a partner of Mr. Kilback in the Certificate. At that point, counsel stated that the issue for me to determine is: (a) how to characterize the interest of Mr. Hochsteiner and; (b) whether that interest is enforceable against Mr. Kilback. Counsel submitted that the claim is not based upon contract, or an express or resulting trust but rather, is based upon constructive trust 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continued and submitted that since a claim for a constructive trust or unjust enrichment is an equitable claim, the plaintiff must come before the court with "clean hands", citing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284 B.C.A.C.243</w:t>
        </w:r>
      </w:hyperlink>
      <w:r>
        <w:rPr>
          <w:rFonts w:ascii="arial" w:eastAsia="arial" w:hAnsi="arial" w:cs="arial"/>
          <w:color w:val="000000"/>
          <w:sz w:val="20"/>
          <w:lang w:val="en-US" w:eastAsia="en-US" w:bidi="ar-SA"/>
        </w:rPr>
        <w:t xml:space="preserve">. He submits that Mr. Hochsteiner cannot be considered to have come before the court with "clean hands" because he was aware at the time the agreement was entered into and until June of 2009, it was not possible under the Regulations issued under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and later,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for a person to hold more than one License or Certificate issued under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at any one time. As Mr. Hochsteiner had, at all applicable times held a Guide Outfitter's Certificate for the Kobau Territory, he was not permitted to hold an interest in a Certificate issued for any other territory including the Certificate for the Subject Guide Territory. As such, Mr. Kilback argues that Mr. Hochsteiner has come to this court without clean hands and that the misconduct has an immediate and necessary relation to the equity sued for, and so he should be denied equitable relief. The defendants argument rests principally on the comments in </w:t>
      </w:r>
      <w:r>
        <w:rPr>
          <w:rFonts w:ascii="arial" w:eastAsia="arial" w:hAnsi="arial" w:cs="arial"/>
          <w:i/>
          <w:color w:val="000000"/>
          <w:sz w:val="20"/>
          <w:lang w:val="en-US" w:eastAsia="en-US" w:bidi="ar-SA"/>
        </w:rPr>
        <w:t>DeJesus</w:t>
      </w:r>
      <w:r>
        <w:rPr>
          <w:rFonts w:ascii="arial" w:eastAsia="arial" w:hAnsi="arial" w:cs="arial"/>
          <w:color w:val="000000"/>
          <w:sz w:val="20"/>
          <w:lang w:val="en-US" w:eastAsia="en-US" w:bidi="ar-SA"/>
        </w:rPr>
        <w:t xml:space="preserve"> at paras 79-86.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DeJesus</w:t>
      </w:r>
      <w:r>
        <w:rPr>
          <w:rFonts w:ascii="arial" w:eastAsia="arial" w:hAnsi="arial" w:cs="arial"/>
          <w:color w:val="000000"/>
          <w:sz w:val="20"/>
          <w:lang w:val="en-US" w:eastAsia="en-US" w:bidi="ar-SA"/>
        </w:rPr>
        <w:t xml:space="preserve"> was in fact decided in favour of the plaintiff. Also, one of the passages referred to by counsel in </w:t>
      </w:r>
      <w:r>
        <w:rPr>
          <w:rFonts w:ascii="arial" w:eastAsia="arial" w:hAnsi="arial" w:cs="arial"/>
          <w:i/>
          <w:color w:val="000000"/>
          <w:sz w:val="20"/>
          <w:lang w:val="en-US" w:eastAsia="en-US" w:bidi="ar-SA"/>
        </w:rPr>
        <w:t>DeJesus</w:t>
      </w:r>
      <w:r>
        <w:rPr>
          <w:rFonts w:ascii="arial" w:eastAsia="arial" w:hAnsi="arial" w:cs="arial"/>
          <w:color w:val="000000"/>
          <w:sz w:val="20"/>
          <w:lang w:val="en-US" w:eastAsia="en-US" w:bidi="ar-SA"/>
        </w:rPr>
        <w:t xml:space="preserve"> included a quotation from </w:t>
      </w:r>
      <w:r>
        <w:rPr>
          <w:rFonts w:ascii="arial" w:eastAsia="arial" w:hAnsi="arial" w:cs="arial"/>
          <w:i/>
          <w:color w:val="000000"/>
          <w:sz w:val="20"/>
          <w:lang w:val="en-US" w:eastAsia="en-US" w:bidi="ar-SA"/>
        </w:rPr>
        <w:t>The Principles of Equitable Remedies</w:t>
      </w:r>
      <w:r>
        <w:rPr>
          <w:rFonts w:ascii="arial" w:eastAsia="arial" w:hAnsi="arial" w:cs="arial"/>
          <w:color w:val="000000"/>
          <w:sz w:val="20"/>
          <w:lang w:val="en-US" w:eastAsia="en-US" w:bidi="ar-SA"/>
        </w:rPr>
        <w:t>, 6th ed. (U.K.: Sweet &amp; Maxwell, 2001) in which the learned author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unless all this dishonesty of purpose, all this fraud, all this intention and design, can be connected with the particular transaction, but must be made to be the very ground upon which the transaction took place, and must have given rise to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there was no dishonesty on the part of Mr. Hochsteiner which gave rise to the contract entered into by Mr. Kilabck and Mr. Starky in 1981. Mr. Kilback was fully aware, based upon the evidence of Mr. Starky, which I accept, that Mr. Hochsteiner had been the silent partner of Mr. Starky and Mr. Hochsteiner would continue to be a silent partner of Mr. Kilback once he became the holder of the Certificate. Mr. Kilback was complicit in the arrangement from the outset; if nothing else this is a mitigating circumstance that would prevent the defendant from succeeding on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the extent that the claim is based in contract, I do accept the defendant's position that the plaintiff was not a party to the agreement and any consideration he gave was past consideration. There is insufficient evidence before me to find an enforceable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on the evidence, I am satisfied that Mr. Kilback only purchased a one half interest in the Certificate and that he therefore holds Mr. Hochsteiner's one half interest on a resulting trust. Mr. Kilback only gave value for half of the Certificate and the value of the remaining half was gratuitously transferred to him. In the alternative, I have no difficulty finding that the plaintiff is entitled to a 50% interest in the Certificate on the basis of constructive trust. I do not find that Mr. Hochsteiner entered the partnership with Mr. Kilback without "clean hands" as Mr. Kilback was fully aware of Mr. Hochsteiner being his partner as is evidenced by his admissions to that effect referred to earlier in these reasons. There is no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One further defence has been raised by Mr. Kilback and that is based upon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Specifically, Mr. Kilback alleges in the Amended Response to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Further, or in the alternative, the Plaintiff's claim is barred by section 8(1)(c), or alternatively sections 3(3) or 3(5) of the </w:t>
      </w:r>
      <w:r>
        <w:rPr>
          <w:rFonts w:ascii="arial" w:eastAsia="arial" w:hAnsi="arial" w:cs="arial"/>
          <w:i/>
          <w:color w:val="000000"/>
          <w:sz w:val="20"/>
          <w:u w:val="single"/>
          <w:lang w:val="en-US" w:eastAsia="en-US" w:bidi="ar-SA"/>
        </w:rPr>
        <w:t>Limitation Act</w:t>
      </w:r>
      <w:r>
        <w:rPr>
          <w:rFonts w:ascii="arial" w:eastAsia="arial" w:hAnsi="arial" w:cs="arial"/>
          <w:color w:val="000000"/>
          <w:sz w:val="20"/>
          <w:u w:val="single"/>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trial, counsel for Mr. Kilback stated that the defendant would not be relying on the ultimate limitation in section 8(1)(c) as a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Subsections 3(3) and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After the expiration of 10 years after the date on which the right to do so arose a person may not bring any of the following actions: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personal representatives of a deceased person for a share of the estate;</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in respect of any fraud or fraudulent breach of trust to which the trustee was party or privy;</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trustee for the conversion of trust property to the trustee's own use;</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trust property or property into which trust property can be traced against a trustee or any other person;</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money on account of a wrongful distribution of trust property against the person to whom the property is distributed, or a successor;</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local judgment for the payment of money or the return of personal property.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also raised by both counsel. The relevant provisions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The running of time with respect to the limitation period set by this Act for an action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Plaintiff's counsel submits that sec. 6 (1) applies and that the onus is on the defendant to prove that the time has begun to run pursuant to s. 6 (2). Defence counsel argues that sec. 6 (1) does not apply and that the claim falls within the category of s.6 (3)(h) and that s. 6 (4) therefore applies and, accordingly, proof of postponement rests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Ellis v. Clifford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(1988), 12 A.C.W.S. (3d) 86</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[1988] B.C.J. No. 1899</w:t>
        </w:r>
      </w:hyperlink>
      <w:r>
        <w:rPr>
          <w:rFonts w:ascii="arial" w:eastAsia="arial" w:hAnsi="arial" w:cs="arial"/>
          <w:color w:val="000000"/>
          <w:sz w:val="20"/>
          <w:lang w:val="en-US" w:eastAsia="en-US" w:bidi="ar-SA"/>
        </w:rPr>
        <w:t xml:space="preserve"> (B.C.S.C) to support his argument that sec. 6(1)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not applicable to the case at bar because Mr. Kilback's decision not to renew the License for Mr. Hochsteiner was not a conversion, and further, he argues that there must be a positive act of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for the residual category of another "act of the trustee on which the action is based" to be triggered. In my view, it is clear that the defendant's actions constitute a form of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he has evaded the spirit of the bargain. While this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may have technically been in the form of an inaction or omission (by failing to renew the plaintiff's License) it would lead to a perverse result to limit the application of this section as argued by the defendant. The purpose of the section is to prevent a dishonest trustee from obtaining protection of the limitation period: see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Bacic v. Bacic Estate</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2010 BCSC 728</w:t>
        </w:r>
      </w:hyperlink>
      <w:r>
        <w:rPr>
          <w:rFonts w:ascii="arial" w:eastAsia="arial" w:hAnsi="arial" w:cs="arial"/>
          <w:color w:val="000000"/>
          <w:sz w:val="20"/>
          <w:lang w:val="en-US" w:eastAsia="en-US" w:bidi="ar-SA"/>
        </w:rPr>
        <w:t xml:space="preserve"> at paras. 57-59 Butler J. found that a failure to transfer the property coupled with the denial of the existence of the trust was conduct sufficient to evoke sec. 6(1)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Having reviewed these provisions as against the facts in this case, I conclude that subsection of sec. 6(1)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it is the more specific section and it aligns with the factual matrix of this claim. Even if I am wrong in that regard, I am satisfied on the evidence that the limitation period began to run in 2006 when the defendant refused to reapply and renew the Assistant Guide License for Mr. Hochsteiner for the Subject Guide Territory. Before that time, Mr. Hochsteiner was neither fully aware of the acts grounding this claim, nor would a reasonable person have knowledge of the facts that would allow him to bring the action until the loss or injury occurred. I do not accept the defendant's argument that previous bounced cheques or other forms of non-payment by the defendant were occurrences of a nature that triggered an earlier start time for the running of the limitation period. Those transactions related to the business profits rather than the underlying ownership interests in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Having concluded that the limitation period did not begin to run until 2006, I find it unnecessary to make a determination as to which of sec. 3(3) or sec. 3(5) applies; in either case the claim was brought well within time. Accordingly, the defendant's limitation period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Furthermore, I reject the defendant's argument based on laches, as Mr. Kilback retains a half interest in the Certificate. Contrary to the defendant's closing submissions, I do not agree that my finding will have the result of unjustly "pulling the rug out from under him". There would therefore be no serious injustice as his retained value in the Certificate does not render the expenditures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I find that the in-trust claim advanced by Mr. Hochsteiner is made out. The plaintiff is entitled to a declaration that the defendant holds a 50% interest in the Certificate for the Subject Guide Territory in trust for the plaintiff absolutely.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the value of that interest, one of the items agreed to in the Agreed Statement of Facts states:</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Guide Territory has a current fair market value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understand as a result that the value of Mr. Hochsteiner's one-half interest is agreed to be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defence in respect of the value of the operation known as Kettle River Guides &amp; Outfitters, Mr. Kilback submitted considerable evidence of the expenditures he has undertaken to promote the business and to improve the guiding experience for hunters. Included were statements regarding the construction of cottages, the purchase of land from the B.C. government upon which he built cottages, the purchase of equipment and the undertaking of other improvements. As the value of the Subject Guide Territory as found in the preceding paragraph does not include the value of the land, cottages, equipment and other improvements, Mr. Kilback's evidence regarding his expenditures is irrelevant to my finding of the value of Mr. Hochsteiner's one-half interest in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to claiming a one-half interest in the Guide Outfitter's Certificate, Mr. Hochsteiner has also made a claim for return of four deer head mounts, one grizzly mount, one cougar mount and one sheep mount. Mr. Hochsteiner's evidence is that the mounts, save and except the cougar and sheep mounts, were placed with Mr. Kilback to store in his workshop after some of Mr. Hochsteiner's mounts had been damaged at a fire at a butcher shop Mr. Hochsteiner's family used to operate. According to Mr. Hochsteiner, the cougar and sheep mounts had been placed with Mr. Starky for safekeeping and these also eventually ended up in the possession of Mr. Kilback, although how those mounts ended up in the possession of Mr. Kilback is unclear. Mr. Hochsteiner stated in evidence that he had nowhere to store the mounts and little if anything was said over the years between the parties regarding the 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Kilback's position is that the mounts were gifted to him by Mr. Hochsteiner. Since they came into his possession, Mr. Kilback has often taken one or more of the mounts to trade shows and has used the same for promotional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Once again, there is no agreement in writing reflecting the arrangement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Considering my findings on the lack of credibility of Mr. Kilback, I accept the evidence of Mr. Hochsteiner to the effect that the mounts were left with Mr. Kilback for storage purposes and were never gifted to him and I order that all of the same be returned to Mr. Hochsteiner.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is entitled to his costs but I am prepared to receive submissions from the parties as to the appropriate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Written submissions on costs will be received if filed by August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HSL Investments Ltd. v. 1027023 B.C. Ltd., [2018] B.C.J. No. 6911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3-6, 9-13,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S108233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R.P.R. (5th) 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3397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HSL Investments Ltd., Plaintiff, and 1027023 B.C.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1"/>
      <w:bookmarkEnd w:id="145"/>
      <w:r>
        <w:rPr>
          <w:rFonts w:ascii="arial" w:eastAsia="arial" w:hAnsi="arial" w:cs="arial"/>
          <w:b/>
          <w:color w:val="000000"/>
          <w:sz w:val="20"/>
          <w:lang w:val="en-US" w:eastAsia="en-US" w:bidi="ar-SA"/>
        </w:rPr>
        <w:t>Contracts — Misrepresentation — What constitutes — Fraudulent misrepresentation — Action by plaintiff seeking damages for defendant's repudiation of parties' consulting agreement allowed — Counterclaim by defendant for rescission of parties' purchase agreement and consulting agreement dismissed — Defendant agreed to purchase plaintiff's business and lands — Plaintiff did not disclose full extent of leaking roof — Plaintiff had not breached express warranties in transaction agreement and had not breached consulting agreement — Plaintiff made fraudulent misrepresentation about roof but defendant had provided insufficient evidence of damages — Plaintiff's misrepresentation about roof did not entitle defendant to avoid obligations under consulting agreement — Plaintiff entitled to $200,000 under consulting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Availability of remedy — General principles — Position had the contract been performed — Action by plaintiff seeking damages for defendant's repudiation of parties' consulting agreement allowed — Counterclaim by defendant for rescission of parties' purchase agreement and consulting agreement dismissed — Defendant agreed to purchase plaintiff's business and lands — Plaintiff did not disclose full extent of leaking roof — Plaintiff had not breached express warranties in transaction agreement and had not breached consulting agreement — Plaintiff made fraudulent misrepresentation about roof but defendant had provided insufficient evidence of damages — Plaintiff's misrepresentation about roof did not entitle defendant to avoid obligations under consulting agreement — Plaintiff entitled to $200,000 under consulting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Agreement of purchase and sale — Breach of — Breach of warranty — Damages — Rescission — Grounds — Misrepresentation — Fraudulent misrepresentation — Quality defects — Patent — Remedies — Action by plaintiff seeking damages for defendant's repudiation of parties' consulting agreement allowed — Counterclaim by defendant for rescission of parties' purchase agreement and consulting agreement dismissed — Defendant agreed to purchase plaintiff's business and lands — Plaintiff did not disclose full extent of leaking roof — Plaintiff had not breached express warranties in transaction agreement and had not breached consulting agreement — Plaintiff made fraudulent misrepresentation about roof but defendant had provided insufficient evidence of damages — Plaintiff's misrepresentation about roof did not entitle defendant to avoid obligations under consulting agreement — Plaintiff entitled to $200,000 under consulting agreement.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1"/>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seeking damages for the defendant's repudiation of the parties' consulting agreement. Counterclaim by the defendant for rescission of the parties' purchase agreement and consulting agreement based on fraudulent misrepresentation. In 2015, the parties entered an agreement for the sale of the plaintiff's partially developed land, including a retail building and self-storage building, to the defendant for $5 million. At the time, the plaintiff had a tenant operating out of the retail building. The parties also entered a consulting agreement pursuant to which the plaintiff was to provide services to the defendant in its operation of the business for one year for a fee of $200,000. The consulting agreement did not contain a termination provision. Soon after completion, the defendant terminated the consulting agreement. From 2014, the plaintiff was aware the roof of the retail building leaked. The plaintiff informed the defendant about the leaking roof but did not communicate other issues with the building raised by the tenant and did not disclose communications with the tenant as required by the purchase agreement. The tenant's estoppel certificate identified the leaking roof as an outstanding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8"/>
            <w:bookmarkEnd w:id="147"/>
            <w:r>
              <w:rPr>
                <w:rFonts w:ascii="arial" w:eastAsia="arial" w:hAnsi="arial" w:cs="arial"/>
                <w:color w:val="000000"/>
                <w:sz w:val="20"/>
                <w:lang w:val="en-US" w:eastAsia="en-US" w:bidi="ar-SA"/>
              </w:rPr>
              <w:t>HELD: Action allowed;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not breached the express warranty that there were no building code violations. The plaintiff's representations in relation to the state of the lease were not inaccurate. The plaintiff's contractual obligations to disclose documents and any material fact or information were not express warranties as to the condition of the building that would displace the doctrine of caveat emptor. There had been no breach of express warranty by the plaintiff relevant to the leaking roof. The plaintiff's efforts to constrain and manage the flow of information to the defendant amounted to a false representation. A full disclosure of the plaintiff's communications with the tenant might have given the defendant pause. Fraudulent misrepresentation was made out. The criteria for rescission were not met, given the defendant did not act to disaffirm the contract until it filed its counterclaim. The defendant had not established the roof needed to be replaced and had provided insufficient evidence of the measure of damages relating to the roof. The plaintiff had not breached the consulting agreement. The plaintiff's misrepresentation about the roof did not entitle the defendant to avoid its obligations under the consulting agreement. The plaintiff was entitled to $200,000 under the consulting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6"/>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1"/>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 Coyne.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Pabani.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1"/>
      <w:bookmarkEnd w:id="150"/>
      <w:r>
        <w:pict>
          <v:line id="_x0000_s1138"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Acquisition and Development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Problems with the Retail Building's 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Development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Sale of the Plaintiff's Lands, Buildings and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Events following the Completion of the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Commencement of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Moe Farid Momen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Larry Wade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Adverse Inferences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and Alleged Defects with the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Breaches of the Express Warranties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Building Code Requirements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Code Violation 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Code Violation 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Code Violation 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Code Violation 8</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Other Alleged Deficiencies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Roof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Summary of Alleged Breaches of Express Warranties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Deceit and 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D.A. BETTON J._0"/>
            <w:bookmarkEnd w:id="151"/>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claim and counterclaim arise out of the sale of a fledgling business in Fort St. John, BC. The plaintiff/vendor acquired lands and constructed an 8,000 square foot retail building and the first three of several planned self-storage buildings on them. The plaintiff had in place a tenant that was operating a business out of the retail building and was in the early stages of obtaining tenants for the storage units when it began negotiations with the defendant for the sale of the lands, buildings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agreement between the parties was reached on January 7, 2015. There were some amendments to that agreement before the transaction was completed on May 1, 2015. Several documents were created as part of the transaction. I will refer to that collection of documents collectively throughout these reasons as the "Transaction Agreement". The Transaction Agreement includes the following documents: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purchase from Nico Properties Inc., dated January 5, 2015, accepted by the plaintiff on January 7, 2015;</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assignment of the offer to purchase from Nico Properties Inc. to the defendant, dated April 27, 2015;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assignment of leases from the tenant of the retail building to the defendant, dated May 1, 2015;</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bring down certificate with closing representations and warranties, dated May 1, 2015;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estoppel certificate completed by the tenant of the retail building dated May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Coincidental with the Transaction Agreement, the parties also entered into a one-year consulting agreement whereby the plaintiff was to provide services to the defendant in its operation of the business for one year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Soon after completion, issues with respect to the transaction arose. The defendant terminated the Consulting Agreement, resulting in the plaintiff initiating its claim. The defendant responded and filed its counterclaim seeking a declaration that the plaintiff fundamentally breached the Consulting Agreement or, alternatively, that the plaintiff repudiated the Consulting Agreement. In addition, it claimed rescission of the Transaction Agreement and the Consulting Agreement or, in the alternative, general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HSL Investments Ltd., has two directors, Larry Wade and his spouse. Paul Wade is their son. He was involved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Larry Wade describes himself as a businessman. He has a degree in political science and economics, and a teaching certificate. His work history includes the operation of an office supply business. He was also previously involved in the development of a commercial property in Tumbler Ridge,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representative of the defendant, 1027023 B.C. Ltd., is Moe Farid Momen. Moe Momen is also a principal of Nico Properties Inc. ("Nico Properties"). When the Transaction Agreement was initially negotiated, the purchaser was to be Nico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Moe Momen was a licensed realtor from 1993 to 2015. He was and remains based in the Lower Mainland. He has a depth of experience in construction and property development. He was originally the development manager for Nico Properties between 1995 and 2000, when he became vice-president. He has served as senior vice-president of Nico Properties since 2008. Moe Momen was also the director of Borazga Construction, the general contractor involved in the construction of a Best Western Hotel in Fort St. John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Acquisition and Development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acquired the subject 4.74 acre parcel of land in May 2013. It was, at the time, essentially undeveloped. The only structure on the land was a 30' x 75' Quonset-type building of wood frame construction, which had electrical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intended to carry out a phased development of the self-storage business together with construction of a larger retail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Shortly after the purchase, the plaintiff began construction. The retail building, the first building constructed, is described in an appraisal report as an 8,000 square foot warehouse of steel frame construction on a concrete foundation. It has metal siding and roofing. The appraisal was done by Pomeroy Valuation Group Ltd. and is as of March 6, 2015, the date of its inspection. This appraisal was commissioned by the defendant during the purchase and sale negotiations. I will discuss the appraisal in more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precise description of the roof system of the retail building was provided in the evidence but it is referenced as a "GARCO insulated panel system", meaning, the roof consists of panels which integrate the insulation. These panels were joined on the roof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general contractor was an entity referred to in the evidence as "Paragon Design Build" which is a division of Paragon Project Management Inc.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details of the contract or contracts the plaintiff entered for the construction of the retail building are not crucial to this case. The evidence on those matters is neither detailed nor completely clear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applied for a building permit in May 2013, and obtained an occupancy permit for the retail building in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Problems with the Retail Building's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15, 2013, the plaintiff entered into a lease for the retail building with an office supply business called "Speedee Your Office Experts Ltd." (the "Tenant"). It was for a term of five years with options to renew for subsequent terms and included a right of first refusal. The lease included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5.00 The landlord hereby covenants with the Tenants that the Tenants, paying the rent hereby reserved and performing the covenants hereinbefore on the Tenants' part contained, shall and may peaceably possess and enjoy the Demised Premises for the term hereby granted without any interruption or disturbance from the Landlord or any other person lawfully claiming by, from or under the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5.02 The Landlord shall be responsible for structural repairs to the roof, roof structure, bearing walls, floor and foundation of the building on the Demised Premises save and except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act of the Tenants, their servants, agents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Issues emerged early on in the tenancy with water either coming through the roof or condensing on the roof and entering the inside of the premises. There is no conclusive evidence before me as to the specific source or sources of the water entering the building. Whatever the source or sources of the problem, it manifested with water falling from the ceiling into the interior of the building. For simplicity only I will refer to the issue generally as the roof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Larry Wade testified that he became aware of the issue in the time period of January to March 2014. It is not clear specifically when or how the issue was first brought to his attention, but on June 12, 2014, in an email chain between Larry Wade and the president of the Tenant, which included the Tenant's branch manager, the Tenant noted "we still have the issues with the roof leaking on rainy days and will continue through the winter if it doesn't get looked at." Larry Wade responded, "they were supposed to mobilize the first week of June but have been delayed. Supposedly late this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Larry Wade's response was apparently a reference to his ongoing dialogue with Paragon about the roof leaking. The plaintiff had held back funds from the construction contract as a result of the issues. An email exchange between Larry Wade and the principal of Paragon sheds some light on the state of the dialogue. It would appear there was discussion about how the amount being held back should be determined and when a holdback would be paid out. One of Larry Wade's statements in that email exchange included the following on June 16,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don't think $10,000 is a very large amount compared to the cost of replacing approximately 4000 sq ft of roof, if your fix does not work. I would be prepared to pay $10,000 now and leave a holdback of $15,000 until we have cycled through another winter. I also want something in writing regarding the warranty that would be on the repaired roof and for how long the roof would be covered from condensation leaks or regular leaks.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both agree there is a serious problem with the roof and to date we are not getting this resolved. I hope this will get the solution moving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Debbie Werstiuk became the branch manager of the Tenant in May 2014. She communicated her concerns about the roof and other matters to her superior. For instance, on February 12, 2015, she wrote in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Same as usual on a sunny melting day or a hard raining day, we have a huge amount of drips from the roof all down the side where our desks are, Larry is trying to tell me this is condensation, don't believe that for a minute, this has been going on from day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Werstiuk also emailed and spoke to Larry Wade directly from time to time about the roof leaking. On April 24, 2015, she wrote to Larry Wade: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morning, just curious what the outcome of our dripping roof was, again a lot of rain and a lot of drips.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also explained the nature and extent of the roof issues directly with the appraiser on March 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Paragon never did "mobilize" but, rather, walked away from the issue without having undertaken any repair or attempted repair. It did not receive the final payment that would otherwise have been due from the plaintiff for the construction and apparently provided no warranty. This is referenced in an email between Larry Wade and a principal of the Tenant on September 8, 2014,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are still working on a resolution to the roof. The general contractor has backed away from the problem and the $25,000 holdback. This leads me to believe the problem may be bigger than a simple fix, or his cost to fix would be greater than the $25,000 holdback due to the distances. I am in touch with the erector of the building and the manufacturer to determine the remedy. It is a new building and we shouldn't be having this problem. I will keep you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Development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or about May 2014, the plaintiff began construction of three storage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storage facility has wire mesh perimeter fencing with a security locking system at the gates. There are 16 RV parking pads in the yard for vehicle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anticipation of the construction, the plaintiff placed some signage advertising the planned availability of the self-storage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construction process, power was accessed from the Quonset building. The power was carried temporarily from the Quonset building to Building A of the storage units by a cable that was buried in a shallow trench.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storage units became available to the public for lease in or about November 2014. They are described in the appraisal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storage facility is comprised of three buildings that will be referred to as Buildings A, B and C. These are all steel frame buildings on concrete slab foundations. All have metal siding and metal roofing. Building A has an office section while Buildings B &amp; C are used only for storage units. Building A has in-floor hot water heat while the other two buildings are not heated. All buildings have electrical power which comes into Building A and then distributed to the other two buildings as well. Building A has its own cistern and septic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total there are 186 individual storage units. Of these, the 46 units ([tilde] 25%) in Building A are heated and 70 cold storage in Building B and 70 cold storage Building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Sale of the Plaintiff's Lands, Buildings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Moe Momen, the representative of the defendant, and some investors developed an interest in real estate based opportunities outside of the Lower Mainland. While in Fort St. John in the spring of 2014, Moe Momen saw the signs advertising the soon to be available self-storage units of the plaintiff. He contacted Paul Wade to inquire about a potential purchase of the development. The plaintiff was not contemplating a sale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led to a process of discussion and negotiation between Moe Momen and Larry Wade regarding the prospective purchase by Nico Properties of the partially developed lands and, ultimately, to the Transaction Agreement. As noted, the Transaction Agreement was initially negotiated with Nico Properties as the purchaser, however the deal was ultimately finalized with the defendant as purchaser. During negotiations, Moe Momen acted as the representative on behalf of Nico Properties, and subsequently, the defendant. No other individual participated in the negotiations on behalf of the purchaser. There is no evidence of how or if the defendant and Nico Properties are connected other than through Moe Momen.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Various prices were discussed. On August 14, 2014, after making observations about some of the revenue/expense projections received by him from Paul Wade, Moe Momen noted in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total Cap rate at a combined price of $4,800,000 is well below 8%. I still like the future potential and would like to move forward with the price I have indicated.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business was just beginning and the projections being discussed were necessarily, and understood to be, hypothetical.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22, 2014, Moe Momen signed a "letter of intent for purchase" on behalf of Nico Properties with the purchase price indicated at $5 million with contingent obligations to pay a further $250,000. The letter included the following concluding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it is the intention of the undersigned Nico that this letter of intent is not a contract but sets forth, for discussion purposes, Nico's expectations with a view that, if these expectations are satisfactory to HSL then the parties can negotiate formal terms for a binding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Moe Momen attended the site on September 19, 2014, to meet Paul Wade and Larry Wade, with a group of three prospective investors (the "September 19 meeting"). That group included Mr. Jagjit Gill. Mr. Gill testified at the trial with the aid of a Punjabi interpreter, but does speak and understand some English. The other investors who attended the visit did not testify, nor did Paul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Following the September 19 meeting, discussions and negotiations continued between Larry Wade and Moe Momen until the plaintiff accepted an offer to purchase from Nico Properties on January 7, 2015, for a purchase price of $5 million. The terms of that accepted offer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Purchaser's obligation to complete the purchase of the Property is subject to and conditional upon the following closing conditions: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representations and warranties of the Vendor as herein provided will be true and correct on the Closing Date in all material respects;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Lease (as defined in Section 7.1(n)) is a valid and subsisting lease, is in full force and effect, and there has been no default thereunder by the tenant under the Building Lease or the Vendor (as landlord)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will deliver to the Purchaser on or before February 27, 2015 those documents and material as set out in Schedule B hereto (the "Delivery Materials") and shall make available to the Purchaser at its offices in Vancouver, B.C. all other documents and materials relevant to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hereby represents and warrants to the Purchaser (as representations and warranties that will survive the completion of the purchase and sale transactions herein contemplated) which warranties and representations are true as at the date hereof and will be true on the Closing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and instruments required to be delivered or made available to the Purchaser hereunder including the Delivery Materials will be complete and accurate in all materials respects as of the date of such delivery or communication to the Purchaser and the Vendor is not aware of any fact or matter which would have the effect of making any of the documents or materials false or misleading;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and the use thereof does not contravene any applicable zoning or building bylaw, covenant, registered or unregistered restriction, land use contract, law, ordinance or regulation (whether relating to fire, safety, the environment, building standards, health standards or otherwise) of any governmental authority, all of which permit the present use and occupation of the Property, and the Vendor has not received and has no knowledge of any notice or request from any governmental authority or official, insurance company or board of fire underwriters requesting the performance of any work or alteration in respect of any of the Land or Building;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Leases in effect in respect of any part of the Lands except the lease in favour of Speedee Your Office Expert Ltd. and registered against title under number CA3558443 (the "Building Lease") and except those leases or rental agreements pertaining to self-storage units located in the Self-Storage Facility, and, in respect of each of the Leases: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is a valid and subsisting lease, there is no default under the Building Lease, and with respect to other Leases, no default exists thereunder except as expressly disclosed by the Vendor to the Purchaser pursuant to the Delivery Materials;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covenants on the part of the landlord in each Lease and in any agreement to lease in respect thereof and any offer to lease in respect of the Property have been fully and properly observed and performed;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has not failed to disclose to the Purchaser any material fact or information relating to or concerning the Property of which the Vendor is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covenants and agrees that from and after the date of this agreement to and including the Closing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make commercially reasonable efforts to rent or lease to bona fide third parties as many of the self-storage units located within the Self-Storage Facility as possible, on terms and conditions which are commercially reasonable and at fair market rental rates, in each case approximating the terms, conditions and rental rates provided for in the rental agreements for similar self-storage units entered into by the Vendor prior to the date 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parties acknowledge that a Right of First Refusal to Purchase (the "RFR") is registered against title to the Lands in favour of Daly Holdings Ltd. (the "Optionee") under number CA3558444. The Vendor covenants and agrees with the Purchaser that it will provide to the Purchaser within 21 days (the "Option Waiver Date") of the date of the Vendor's acceptance of this Offer to Purchase evidence satisfactory to the Purchaser, acting reasonably, that the Optionee has waived all of its rights under the RFR.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Vendor will use reasonable commercial efforts to obtain a completed and executed estoppel certificate dated not more than 20 days prior to the Closing Date (the "Estoppel Certificate") and addressed to the Purchaser and any assignee of the Purchaser's interest herein and, if required by the Purchaser, its lender, in a form reasonably required by the Purchaser or its lender, from the existing tenant of the commercial building, Speedee Your Office Experts Ltd. The Vendor will promptly upon receipt of the Estoppel Certificate deliver a copy of same to the Purchaser for its review and will deliver a copy of the Estoppel Certificate not less than 10 days prior to the Closing Date. If despite the Vendor's reasonable commercial efforts the Vendor is unable to obtain the Estoppel Certificate from Speedee Your Office Experts Ltd. in accordance with the foregoing, then the Vendor will execute and deliver the Estoppel Certificate to the Purchaser at least 10 days prior to the Closing Date certifying the information set out in the Estoppel Certificate.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Vendor's obligations to its tenants under the Leases, the Purchaser and its advisors and agents shall, commencing on the date that is 15 days after the Vendor's acceptance of this Offer to Purchase, have the right to enter upon the Property from time to time to conduct such inspections and studies relating to the Property as the Purchaser may deem necessary upon not be less than 48 hours prior notice to the Vendor. The Vendor and its employees shall cooperate with the Purchaser in respect of the Purchaser's inspections and studies of the Property. The Purchaser covenants and agrees with the Vendor to restore the Property to the condition in which they existed at the date of this Offer to Purchase and will indemnify the Vendor for any loss or damage incurred, in the event the Purchaser does not complete the purchase of the Property on the Closing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or before the Closing Date, the Vendor will cause the Vendor's solicitors to deliver to the Purchaser's solicitors the following items, duly executed by the Vendor and in registrable form whenever appropriate, to be dealt with in accordance with Section 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executed Estoppel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an officer of the Vendor on the Closing Date certifying that each of the warranties and representations of the Vendor as set out herein is true and accurate on the Closing Date in all materials respects except as disclosed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Upon completion of the purchase and sale of the Property in accordance with the terms of this Offer to Purchase, the Purchaser will hire the Vendor as a Consultant pursuant to the terms of the Consulting Agreement attached hereto as Schedule 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SCHEDULE B -- DELIVERY MATERIALS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true and complete copies of all Leases and of the files (correspondence and otherwise for at least the previous 12 months) maintained by the Vendor in connection with the Leases and the existing tenants and copies of all agreements and correspondence and documents which deal with any Tenant improvement allowances and any other Tenant inducements whatsoever given or made in connection therewith;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each of the following documents in the possession or control of the Vendor or its agents: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correspondence relating to the Vendor's dealings with the Tenants with respect to matters under the Leases;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Consulting Agreement referenced in clause 23.1 of the Transaction Agreement contains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During the Term (as defined in Section 2.1) of this Agreement, the Consultant shall perform such services, assume such responsibilities and carry out such instructions or policies for the Company as are assigned by the Company to the Consultant from time to time, which will include, without limitation, those set forth in Schedule "A" of this Agreement (the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Consultant shall provide the Services to the best of the Consultant's ability and to standard of a competent and prudent leasing agent and development consultant in accordance with all applicable legislation, laws and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Consultant warrants and represents to and covenants with the Company that it shall not: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execute any documents which bind or purports to bind the Company;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have the power and authority to bind the Company;</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any authority to undertake any obligations or responsibilities on behalf of the Company;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alter, discharge any contract or agreement, except as otherwise expressly agreed to by the Company and the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Consultant is not required to perform the Services during a fixed hourly or daily time, but rather shall devote its reasonable commercial efforts and such business time, attention and energy as may be reasonably required to perform the Services in a timely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Consultant shall cause Paul Wade, an employee of the Consultant, to perform all of the Consultant's obligations under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Subject to Section 2.2, the term of this Agreement will be one year, and shall commence on May 1, 2015 and shall terminate on April 30, 2016 (the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Company will pay to the Consultant a fee of $200,000.00 plus applicable GST (the "Fee") for the Services provided under this Agreement. The Consultant will be responsible to invoice the Company on the last day of the Term in the amount of $200,000.00 plus GST.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This Agreement contains the complete agreement between the Company and the Consultant and shall, as of the date it is executed, supersede any and all other agreements between the parties. The parties agree that neither of them has made any representations to the other except such representations as are specifically set forth in this Agreement, and that any statements or representations that may previously have been made by either of them to the other have not been relied on in connection with the execution of this Agreement and are of no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SCHEDULE "A"</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Consultant's duties may include but are not limited to the following: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implementing a marketing plan for the rental of the self-storage units located within the self-storage facility located upon the Property;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the Company in locating tenants and entering into rental agreements in respect of the self-storage units;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the Company in developing certain portions of the Property, including liaising with various governmental authorities, contractors and related activities required in connection with the redevelopment of portions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Transaction Agreement also included a provision for a commission of $500,000 to be paid to Moe Momen's real estate firm pursuant to a "seller's fee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obtained a release from the Tenant for its right of first refusal pursuant to clause 9.1 of the Transaction Agreement. The Tenant's solicitor sent it by way of letter dated February 3, 2015,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your client will be aware, there are some outstanding matters and issues with respect to the premises and we trust that this information will be drawn to the attention of the purchaser and/or attended to before closing. In particular we are advised as follows: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during periods of melting snow or when it rains heavily, the roof leaks and it leaks significantly. Also, during a period of recent high winds, the roof could be heard lifting and banging;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electrical plugs which were to be activated, were never attended to;</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 on the front door is higher than the standard height and several customers have complained of stubbing their toes and/or tripping coming into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would you be kind enough to provide us with particulars and contact information for the purchaser and its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did not provide the Tenant with contact information for the purchasers as requested in the release letter. The plaintiff did not provide the defendant with a copy of the release letter, nor any of the emails it sent to or received from the Tenant about the leaking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solution to the leaking roof was not identified or implemented prior to the sale of the property to the defendant. Larry Wade made a number of inquiries about potential fixes but had not undertaken any repair before the closing date. Specifically and as an example, in August 2014, the plaintiff intended to proceed with a proposed fix but further investigations led it to question the merits of the plan and it made the decision to hold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time between the commencement of the Tenant's occupancy of the premises and the sale to the defendant, the Tenant had also raised other issues with respect to the retail building, including dust accumulation on the floors, temperature management and the potential for the installation of air conditioning, paving areas of the exterior yard and the design of a step on the front entrance. None of these issues were communicated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April 27, 2015, the accepted offer to purchase was assigned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contemplated by the offer to purchase in para 16.1(j), the plaintiff executed a document titled "Bring Down Certificate Closing Representations and Warranties" on May 1, 2015, wherein Larry Wade certified and confirmed on behalf of the vendor: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that the representations and warranties made by the Vendor in the Purchase Agreement are materially true and correct as of May 1, 2015 (the "Closing Date") with the same force and effect as if such representations and warranties had been made on and as of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pursuant to clause 11.1 of the Transaction Agreement, the plaintiff acquired from the Tenant an estoppel certificate, which was executed on May 1, 2015. That document was sent to the plaintiff's solicitors on that date. The document provides the following (with handwritten insertions set out in italics):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acknowledges having been advised that the Purchaser has entered into an agreement to purchase the Property. In order to assist the Purchaser in its acquisition of the Property, and as a representation upon which the Purchaser and its lender intends to and may rely, the Tenant certifies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Demised Premises have been completed in accordance with all obligations of the Landlord and the Tenant, and there are no outstanding claims by the Tenant against the Landlord with respect to the original construction of the Demised Premises, </w:t>
      </w:r>
      <w:r>
        <w:rPr>
          <w:rFonts w:ascii="arial" w:eastAsia="arial" w:hAnsi="arial" w:cs="arial"/>
          <w:i/>
          <w:color w:val="000000"/>
          <w:sz w:val="20"/>
          <w:lang w:val="en-US" w:eastAsia="en-US" w:bidi="ar-SA"/>
        </w:rPr>
        <w:t>other than a leading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roof.</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amount agreed to be paid by the Landlord and/or the Tenant for tenant improvements has been paid in full, </w:t>
      </w:r>
      <w:r>
        <w:rPr>
          <w:rFonts w:ascii="arial" w:eastAsia="arial" w:hAnsi="arial" w:cs="arial"/>
          <w:i/>
          <w:color w:val="000000"/>
          <w:sz w:val="20"/>
          <w:lang w:val="en-US" w:eastAsia="en-US" w:bidi="ar-SA"/>
        </w:rPr>
        <w:t>other than the leading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roof.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Tenant is satisfied with the state of repair of the Demised Premises and the Property. The Landlord has given no commitment to the Tenant to alter, repair, improve, or otherwise expend money on the Demised Premises except to the extent of the Landlord's covenant to repair, if any, contained in the Lease. Any such repairs required to be made by the Landlord have been completed as of this date, </w:t>
      </w:r>
      <w:r>
        <w:rPr>
          <w:rFonts w:ascii="arial" w:eastAsia="arial" w:hAnsi="arial" w:cs="arial"/>
          <w:i/>
          <w:color w:val="000000"/>
          <w:sz w:val="20"/>
          <w:lang w:val="en-US" w:eastAsia="en-US" w:bidi="ar-SA"/>
        </w:rPr>
        <w:t>other than the leaking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solicitors forwarded that estoppel certificate to the defendant's solicitors and to Larry Wade by email. In their May 1, 2015 communication to Larry Wade, his solicitors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I'm not sure what [the purchaser's] reaction will be to the "leaky roof" comments in the estoppel certificate. I thought that issue had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Larry Wade responded to his solicitor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have to see what they say. We have isolated the source of the leak and were waiting for good weather to repair. I have talked to Farid about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Also included in the documents executed at closing and forming part of the Transaction Agreement was an assignment of leases. Within the assignment of leases under clause 3, "Vendor's Covenants", are the following terms: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tenants under the Leases have no set-off, defences, or counterclaims against the enforcement of its obligations under the Lease;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tenants under the Leases are not entitled to any rent-free or rent-reduced periods either now or in the future (except as may have been adjusted for on closing);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neither the Vendor nor the tenants under the Leases are in default, in any material respect of their obligations under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obtained an appraisal of the property valuing it as of March 6, 2015, which, as noted, is the date the appraiser was on site. Moe Momen provided a copy of that appraisal to Larry Wade on March 25, 2015. The appraisal report is blank where it appears an actual opinion as to value was to be inserted. Nonetheless, there are statements as to values based on different methodologies in the report. That report also includes the following comments in reference to the retail building and its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Roof:</w:t>
      </w:r>
      <w:r>
        <w:rPr>
          <w:rFonts w:ascii="arial" w:eastAsia="arial" w:hAnsi="arial" w:cs="arial"/>
          <w:color w:val="000000"/>
          <w:sz w:val="20"/>
          <w:lang w:val="en-US" w:eastAsia="en-US" w:bidi="ar-SA"/>
        </w:rPr>
        <w:t xml:space="preserve"> Metal roof; personnel in this building indicated that there were ongoing roof issues. During times of heavy rain or during snow melt, there are several locations where the roof leaks. This issue is assumed to be corrected.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Flooring</w:t>
      </w:r>
      <w:r>
        <w:rPr>
          <w:rFonts w:ascii="arial" w:eastAsia="arial" w:hAnsi="arial" w:cs="arial"/>
          <w:color w:val="000000"/>
          <w:sz w:val="20"/>
          <w:lang w:val="en-US" w:eastAsia="en-US" w:bidi="ar-SA"/>
        </w:rPr>
        <w:t>: Exposed concrete; personnel indicated that the exposed concrete develops a dusty film on a regular basis. They would like to see the exposed concrete "resealed" to help reduce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 earlier offer that was not accepted by the plaintiff, the defendant made the obtaining of an appraisal satisfactory to the purchaser a condition precedent. The plaintiff indicated that it would not accept that term and it was not part of the accepted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Following the acceptance of the offer by the purchaser, Larry Wade and Moe Momen remained in communication by email and perhaps otherwise. Moe Momen requested information on an ongoing basis about the occupancy of the storage units and other revenue and expense projections. On March 9, 2015, Moe Momen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bank and appraisal company need an updated rent roll for end of Feb. can you please provide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March 16, 2015, Larry Wade emailed Moe Momen and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prepare an annualized budget when we have such a short period of actual results to work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Moe Momen responded "[t]his is just to get a good appraisal for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receipt of the appraisal report, Moe Momen expressed concern in emails to Larry Wade that the valuation was lower than the purchase price. Larry Wade and Moe Momen discussed the methods and considerations used in the appraisal. Included in that portion of the dialogue between the two is the only specific and documented reference to the roof by either party prior to the completion of the sale that was entered into evidence. It is contained in an email in the context of the discussion about the appraisal. Larry Wade wrote the following on March 26,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couple of further thoughts after doing some reading. I'm not sure how you want to handle this point, but the Warehouse building is a Garco Insulated Panel System building. Garco supplies insulated panels finished with metal exteriors. The panels on the roof are 6" thick and provide approximately R36 and the walls are 4" thick which provide approximately R28. This is a superior product to a conventional steel building and as such it costs more to purchase and more to erect. That point seems to be missed in our discussions. This speaks to the quality of construction and competitive position in the market place in regards to finding tenants should the existing tenant leave. Newer buildings in desired locations have a much lower vacancy rate than other buildings and therefore there is an argument for lower vacancy and collection loss of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Ultimately, the parties agreed to a reduction of the purchase price, apparently as a result of the appraisal. An amendment to the offer dated April 3, 2015, was executed with a final purchase price of $4.55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sale completed as scheduled on May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following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Gill, on behalf of the defendant, attended the site shortly thereafter and spoke to Ms. Werstiuk, the Tenant's branch manager. On May 5, 2015, Moe Momen sent an email to Paul Wade advising that he would be at the site on May 7, 2015, and indicated a desire to go through a number of transitional issues. He included a request to "[i]ntroduce us [to] the Speedee Building Manager and if possible look at the roof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Moe Momen attended the site as scheduled on May 7, 2015, and spoke to Ms. Werstiuk. He confirmed his discussion with her in an email dated May 10, 2015, 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have noted the concerns that you have shared with me. I am working with Larry to sort it out. I will keep you posted. I have noted the following and if there is anything else, please let me know.</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is leaking since it was built and when it is windy it makes the raffling noise.</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floors were not finished properly and it is at all time dusty. It needs to be sealed.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entrance of the building may have a tripping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Thereafter, there was ongoing email dialogue between Paul Wade and Larry Wade on behalf of the plaintiff with Moe Momen on behalf of the defendant regarding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June 1, 2015, solicitors for the defendant sent a letter to the plaintiff terminating the Consulting Agreement (the "Termination Letter").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to advise that we represent 1027023 B.C. Ltd. As you are aware you and/or your employees have been providing consulting services for the operations of a storage facility in Fort St. John, to our client. The consulting services were to be provided for a number of factors, chief of which was the future development of Phases 2, 3, and 4 of the Storage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also believed that at the time that our client purchased the Storage Facility, occupancy would be at least 90% by this point in time. However, as of May 29, 2015 the occupancy sits at 74.74%. Our client advises that they do not anticipate that the units will be fully or 90% occupied by the close of this year. Accordingly, we write to advise that our client will no longer be requiring your consulting services, as the primary purpose of the consulting will not be realized for some time. Our client will of course pay you for the services you rendered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June 8, 2015, solicitors for the defendant sent a letter to the plaintiff regarding a "Deficiency List",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Pursuant to the agreement, a number of items remain outstanding or unresolved. Please find enclosed herewith a copy of Deficiency List created by Mr. Jagjit Gill after his recent visit to the Storage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when these outstanding items will be rectified/remedied or if in the alternative these items should be completed by our clients and then charged back to you for reimbursement or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That list was in respect of the retail building and the self-storage buildings and included the following:</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paving the parking lot surrounding the Building;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repair the underground electrical conduit and electrical installations generally on the Property;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repair the leaking and rattling roof of the Building;</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repair the sidewalk that subsided on the Property;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repair damage to the Building that occurred prior to the Closing Date to the entry gate and the walls of the Building;</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install a sufficient heating system for the Building;</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remove and dispose of garbage and debris on the Property;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Solicitors for the plaintiff responded to both letters on June 23, 2015. In respect of the Termination Letter, that response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Consulting Agreement was not conditional upon the occupancy rate of the storage facility, nor did the Consulting Agreement contain any provisions permitting your client to terminate the agreement prior to the end of the Term (as defined in the Consulting Agreement). Your client was also well aware of the occupancy rate of the storage facility because your client was provided with the occupancy information on a monthly basis prior to closing.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confirm your client will honour the terms of the Consulting Agreement. If we have not received such confirmation by July 3, 2015, we will seek instructions to commence an action for anticipatory breach of the Consulting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your letter dated June 8, 2015, our client takes the position that it is not responsible for repairing any of the alleged deficiencies. Your client conducted their own due diligence, including site visits, prior to completion of the purchase of the property pursuant to the Offer. Your client was aware, or ought to have been aware, of all of the alleged deficiencies. The Offer did not contain any representations, warranties or covenants with respect to the alleged deficiencies.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Commencement of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filed its notice of civil claim on August 18, 2015, seeking damages in relation to the defendant's repudiation of the Consulting Agreement. The defendant filed a response and counterclaim on September 21, 2015. At that time, relief sought by the defendant included the following:</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fundamentally breached the Consulting Agreement such that the Consulting Agreement is voidable and of no force or effect;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the plaintiff has repudiated the Consulting Agreement and the defendant has accepted that repudiation;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filed an amended response and counterclaim on March 19, 2018, immediately prior to the commencement of the trial, which advanced a claim for rescission of the Transaction Agreement based on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parties assert that the key witness of the other lacks credibility. For the plaintiff that is Larry Wade. For the defence that is Moe Momen.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defence also argues that I should draw an adverse inference from the plaintiff's failure to call Paul Wade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 foundational feature of each party's argument is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The plaintiff says that it serves to defeat the major components of the defendant's counterclaim. The defendant argues that the doctrine does not apply in the circumstances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action began with the plaintiff's assertion in its notice of civil claim that it is entitled to be paid pursuant to the Consulting Agreement. The response and counterclaim introduce a number of interrelated issues all connected to alleged deficiencies in the buildings, most significantly the leaking roof. The defendant says that the presence of those deficiencies and/or the plaintiff's failure to bring them to the attention of the defendant constitute breach of express warranties contained in the Transaction Agreement. In the alternative, the defendant says the plaintiff made fraudulent misrepresentations regarding the building entitling it to rescission and/or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says that the Consulting Agreement had no termination provision. The plaintiff says that the defendant's Termination Letter accurately sets out the basis upon which the defendant hoped to terminate the Consulting Agreement and contrary assertions now lack credibility. Further, the plaintiff says that it fulfilled all tasks that might fall within the scope of its obligations under the Consulting Agreement and there was no breach. In fact, it asserts that the true intent of the Consulting Agreement was to reduce the apparent purchase price of the business to make it easier for the defendant to obtain financing for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counsel for the defendant sent the Termination Letter purporting to terminate the Consulting Agreement, the plaintiff says it accepted that as repudiation of the Consulting Agreement, entitling it to full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says that the Termination Letter does not accurately reflect the reasons for the termination. At paras. 89 and 90 of its written argument the "...Defendant acknowledge [sic] that the legal basis for the letter, as stated in the letter, is difficult to understand", but "notwithstanding the issues with the letter, the Defendant says the Plaintiff had repudiated the consulting agreement by its conduct, which repudiation the Defendant says it accepted by terminating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addition, it says that the Consulting Agreement was part of the larger transaction, which included the purchase of the business as a going concern, together with the lands and building. In doing so, it links the Consulting Agreement to other documents created in relation to that larger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amended response to civil claim, it says:</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clause 1.1 of the Consulting Agreement, the defendant assigned responsibilities to the plaintiff to walk through the Property and the Building occupied by Speedie [sic] to address all of the tenant issues that arose prior to the Closing Date.</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implied term of the Consulting Agreement that the plaintiff would act honestly, candidly, reasonably and in good faith in relation to all its obligations under the Transaction Agreement (defined below), including but not limited to, its duties to disclose all material facts and information to the defendant, to maintain and repair the Property and Building prior to the Closing Date and to ensure all development of the Property was completed in accordance with all building codes, bylaws, ordinances and regulations, as a competent and prudent developer and consultant would.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individual written agreements referred to in this response form the agreement between the plaintiff and the defendant. These agreements will hereinafter be referred to collectively as the "Transaction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asserts that not only did the plaintiff not meet its obligation to act honestly and in good faith, but that it committed fraud in relation to the Transaction Agreement. The defendant further articulated that position as follows in its written argument:</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basis for the claim that the Plaintiff repudiated the Consulting Agreement are as follows. First, the Consulting Agreement and Offer to Purchase were part of a larger transaction. The Plaintiff intentionally breached its disclosure obligations under the Offer to Purchase and withheld material information from the Defendant. The Defendant's conduct was not consistent with its obligation to act honestly and in good faith towards the Defendant. This failure was of particular importance as the Consulting Agreement was a personal service contract and not just a contract for the sale of goods. The nature of the breaches of the Offer to Purchase, and the dishonestly related to those breaches, would not reasonably allow for the Defendant to rely on the Plaintiff for the provision of services.</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further says that if the Plaintiff is found to have committed a fraud, then it has been said that "fraud vitiates everything". We would submit that it certainly vitiates a service contract where the party assigned to perform the work has not only failed to act in good faith, it has been dishonest in failing to disclose information it was contractually required to provide to the recipient. One cannot be required to maintain an independent contractor who has either been dishonest in its performance of duties to the recipient or has engaged in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alleges four representations or sets of representations. It says that the counterclaim is proved by the collective or individual effect of these representations. Two are representations made within the Transaction Agreement and two were made by Larry Wade outside of the Transaction Agreement. They are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about the retail building being the best building and having a lifetime warranty: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Larry Wade made oral statements about the retail building, including that it was "the best in Fort St. John" and had a "lifetime warranty".</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about the quality of construction and materials in the retail building: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the references to the quality of the construction and materials of the retail building in Larry Wade's email of March 26, 2015, are contractual representations that are part of a pattern of conduct by Larry Wade.</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in the offer to purchase: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offer to purchase contained warranties that were breached by the plaintiff. Specifically, it points to the obligation to disclose documents, as per clause 6.1 and ss. 1 and 7 of Schedule B, which should have included the email communications from the Tenant regarding the problems with the roof and other building complaints.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says the plaintiff was obligated to provide, as "material facts or information" pursuant to clause 7.1(o), details regarding the plaintiff's unsuccessful efforts to resolve the problems with the roof. It also argues that the building violated building code requirements despite warranting that it was in compliance in accordance with clause 7.1(l).</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in the bring down certificate: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are essentially repetitions of the representations made in the offer to purchase, as noted above, however the bring down certificate has the effect of specifically connecting the representations to Larry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says that three results flow from these representations having been made: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apply;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entitled to terminate the Consulting Agreement or otherwise to be relieved from any obligation to pay the plaintiff pursuant to it;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rescission of the Transaction Agreement and the Consulting Agreement or, alternatively,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condition of the roof of the retail building, and particularly the parties' knowledge of that condition, is central to the issues. Unlike the defendant's other allegations of deficiencies, there is no dispute that there is a problem with the roof. It is clearly the most serious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considerable disagreement as to what Moe Momen knew about those problems, and the extent and source of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significant focus of the evidence at trial was on what, if any, information was provided by the plaintiff to the defendant about the condition of the roof on the retail building prior to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says that Larry Wade told Moe Momen of the issues with the roof in the September 19 meeting. The defendant denies having received any information from Larry Wade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More generally there are disputes as to how other information about the roof condition that was available to the defendant prior to completion should affect the outcome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acknowledges that it did not disclose communications with the Tenant regarding the problems with the roof. However, it argues this should not affect the outcome since the issues with the roof are referenced in both the appraisal report commissioned by the defendant and in the estoppel certificate, one of the closing documents. Both of these were in the hands of the defendant prior to the defendant deciding to complete the transaction. The plaintiff says that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places the obligation on the defendant to conduct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argues that the plaintiff breached its obligation under the Transaction Agreement to disclose all of the communications between it and the tenants, in particular the communications regarding the issues with the roof. It says the plaintiff's non-disclosure was part of the pattern of conduct specifically intended to deceive the defendant regarding the condition and quality of the structures. This pattern is evidenced by the collection of alleged misrepresentations referenced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 argues that given the breach of express warranties and/or fraud,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Moe Momen testified that he did not read the comments about the roof in either the appraisal report or the estoppel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Separate and apart from the issues related to the roof on the retail building, the defendant asserts that there are numerous defects and building code violations in respect of the buildings on the property. These are referenced in the defendant's expert report of Mr. Khangura. In its written argument, the defendant says:</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recognizes the problems with Mr. Khangura's report and his testimony, as demonstrated during cross examination.</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Plaintiff's expert was specifically instructed to deal with the issues raised by Mr. Khangura and, even where it was unable to make a comment because it did not attend the site, it took information from others. In another case, it indicated it would require further information to make a determination.</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there were 3 cases where the expert simply said "no comment" on a task, which was assigned to him to review and provide a response for the report.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cases, the Defendant asks that damages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will deal only with those alleged deficiencies that the defendant is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says that there are no other deficiencies in the building that are building code violations. The plaintiff denies any liability for the alleged deficiencies. It says, in relation to some, that they are not deficiencies at all and/or that they are not matters for which the plaintiff has any responsibility pursuant to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says that, even if it failed to disclose documents regarding the roof so as to constitute a breach of clauses 7.1(i) and (o), rescission is not available and the defendant's only remedy 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then says that the defendant has failed to prove any damages. The plaintiff asserts that, whether in relation to the roof on the retail building or any other alleged deficiencies, the defendant has failed to establish what the costs would be to remedy the problems or what the diminution in the property's value is as a result of the alleged deficiencies. It says the claim for damages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outlined above, there are both legal and factual 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will begin my analysis with my assessment of the credibility of the two principle witnesses noted above. The parties agree that the credibility of those witnesses is important to the determination of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then address the question of adverse inferences. The defendant says that I should draw an adverse inference fro the plaintiff's failure to call Paul Wade as a witness. He was at the September 19 meeting. Other persons were also present who were not called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will then turn to the legal issues including the applicability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and the related issues of breach of express warranty and fraudulent misrepresentation or deceit. This will include conclusions about available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Next I will address the plaintiff's claim for breach of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my general conclusion that the evidence of both Larry Wade and Moe Momen must be viewed cautiously. Each has endeavored to characterize the events and their conduct leading up to the completion of the transaction in a manner intended to achieve a favourable result in this trial. I find that neither has been entirely candid and forthright. Each has sought to take advantage of gaps in documentation and records to manipulate their evidence as to key facts to try to achieve that more favourable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should be noted that the observations influencing my assessment of the credibility of these witnesses as set out below vary in terms of their relative impact on the overall credibility assessment. Some are more serious indictments on their credibility than others, but it is the collective effect that leads to my conclusions. My assessments are based on the specific content of their evidence and on their presentation as witnesses. It is ultimately a product of my review of their evidence in the context of the whole of the evidence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Moe Farid Momen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following are my specific observations in respect of the credibility of the evidence of Moe Momen.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am satisfied that Moe Momen presented himself to Larry Wade as he does generally in his LinkedIn profile: as a sophisticated and experienced businessman/developer and realtor. In his evidence, however, he made repeated and consistent efforts to portray himself as somewhat naïve and gullible. He tried to downplay and/or put a different context on the dollar value of the previous developments he has been engaged in and to minimize the depth of his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my view that his effort to do so was intended to further his suggestion that he relied heavily on Larry Wade regarding the quality of the buildings. It was also intended to support his evidence that he did not read the appraisal report he commissioned, but that, even if he had read it, he would have been unable to interpret the comments with respect to the buildings'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Moe Momen obtained a detailed appraisal report which included the comments noted above in para. 48 regarding the roof, but he says he did not read anything except the comments on valuation. He goes on to suggest that even if he had read the report, the comment "this issue is assumed to be corrected" would have suggested to him that the problem was historical and not ongoing. That proposition defies logic for two reasons. First, the timing of the attendance of the appraiser would have made rectification of the problem prior to Moe Momen receiving the report impossible. The appraiser attended the site on March 6, 2015, and his report is dated March 25, 2015. Second, the report specifically contains the qualification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 is not qualified to give engineering advice, as such it has been assumed that; there are no patent or latent defects within the subject improvement, there are no objectionable materials such as </w:t>
      </w:r>
      <w:r>
        <w:rPr>
          <w:rFonts w:ascii="arial" w:eastAsia="arial" w:hAnsi="arial" w:cs="arial"/>
          <w:i/>
          <w:color w:val="000000"/>
          <w:sz w:val="20"/>
          <w:lang w:val="en-US" w:eastAsia="en-US" w:bidi="ar-SA"/>
        </w:rPr>
        <w:t>Urea Formaldehyde Foam</w:t>
      </w:r>
      <w:r>
        <w:rPr>
          <w:rFonts w:ascii="arial" w:eastAsia="arial" w:hAnsi="arial" w:cs="arial"/>
          <w:color w:val="000000"/>
          <w:sz w:val="20"/>
          <w:lang w:val="en-US" w:eastAsia="en-US" w:bidi="ar-SA"/>
        </w:rPr>
        <w:t xml:space="preserve"> insulation present, and the improvement is structurally sound and in need of no immediate repair; unless it has otherwise been expressly noted within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appraisal report was clearly indicating the valuation did not include a discount for the roof leak issue: that it assumes for purposes of the valuation that the defect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Additionally, Moe Momen indicates that he made a special trip from the Lower Mainland to Fort St. John with three investors to view the property on September 19, 2014, with the specific intention of assessing the merit of purchasing the property. He says he spent only fifteen to twenty minutes on site. Larry Wade says much more time was spent on site. It is difficult to accept that a group considering a multimillion dollar investment would make such a trip and not conduct any examination of the site. Indicating such a short time on site might support the assertion of greater reliance on Larry Wade and I am satisfied that was the reason for giving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Similarly, Moe Momen says that Larry Wade represented there was a lifetime warranty on the retail building. There is absolutely no reference to that in any email communication or in the Transaction Agreement in any form. It is difficult to imagine, first, that such a representation would be made and, if it was made, that it would not have been specifically incorporated or referred to either in the Transaction Agreement or in any written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defence seized on an email dated March 26, 2015, sent from Larry Wade to Moe Momen after the appraisal report had been received where he speaks of the quality of the structure. If indeed there had been a representation of a lifetime warranty, one would think Larry Wade would have reiterated it in that email or that Moe Momen would have investigated the proposition or taken some other step to confirm the accuracy of such a claim or incorporate it expressly into the Transaction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Larry Wade denies the existence of a lifetime warranty or having made any such representation. It is my conclusion that Moe Momen has fabricated the assertion in an effort to strengthen the defence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evidence, Moe Momen suggested that the Termination Letter was not a reflection of the defendant's instructions and that it did not actually set out the true basis for terminating the Consulting Agreement. I reject this proposition as an effort by Moe Momen to recharacterize the basis for termination after the fact and to manipulate the facts to try bolster the defence case. Counsel for the defendant obviously sent the Termination Letter pursuant to the defendant's instructions. If the Termination Letter was not accurate, one would expect the defendant would have taken steps to correct the error, such as by sending another letter or admonishing its counsel. There is no evidence of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respect of the Consulting Agreement, Moe Momen testified that he made numerous requests of Paul Wade to perform specific actions pursuant to the Consulting Agreement. When pressed in cross-examination he acknowledged that many of those matters he requested action on had nothing to do with and did not fall within the scope of the Consulting Agreement. They were part of the transition of ownership. Further, there were no substantiated examples of delays or tardiness on the part of the plaintiff to respond to such requests that were documented by email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Also and pursuant to the Consulting Agreement, Moe Momen suggested that there was a positive obligation on the part of the plaintiff to create a marketing plan for the storage units despite no such request having been made for that, no specific provision in the Consulting Agreement requiring the plaintiff to do so without further instruction, and no reference to such a concern in the Termination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Further, I do not accept Moe Momen's evidence as to not having read the estoppel certificate. He testified that because it was received on the closing date he did not consider its content. That document, required by the defendant as part of the closing, contained the information from the Tenant about the roof leaks. The document was received late, but it defies logic that Moe Momen would not read it or be aware of its content. His evidence was, in my view, another effort to try to maintain an assertion of ignorance about the roof. I reject the proposition that he would be so casual about the review of a document that the defendant insisted on having as part of the closing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actual language of the offer to purchase with respect to the requirement to acquire and deliver the estoppel certificate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The Vendor will use reasonable commercial efforts to obtain a completed and executed estoppel certificate dated not more than 20 days prior to the Closing Date (the "Estoppel Certificate") and addressed to the Purchaser and any assignee of the Purchaser's interest herein and, if required by the Purchaser, its lender, in a form reasonably required by the Purchaser or its lender, from the existing tenant of the commercial building, Speedee Your Office Experts Ltd. The Vendor will promptly upon receipt of the Estoppel Certificate deliver a copy of same to the Purchaser for its review and will deliver a copy of the Estoppel Certificate not less than 10 days prior to the Closing Date. If despite the Vendor's reasonable commercial efforts the Vendor is unable to obtain the Estoppel Certificate from Speedee Your Office Experts Ltd. in accordance with the foregoing, then the Vendor will execute and deliver the Estoppel Certificate to the Purchaser at least 10 days prior to the Closing Date certifying the information set out in the Estoppel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not clear how the vendor could have executed and delivered the document as contemplated given its content. Nonetheless, the defendant did not press for its delivery or even inquire about it. The estoppel certificate was in fact provided by the plaintiff as soon as it was received from the Tenant. In any event, the defendant proceeded with completion despite the issues of timing of delivery of the document and its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Moe Momen also suggests that by virtue of the Tenant adding handwritten information which specifically dealt with the roof, the estoppel certificate no longer met the requirements of the Transaction Agreement. This amounts to a complaint that the document contained the additional relevant information that he complains he did not have. The absurdity of this proposition is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Moe Momen testified that he relied on the bring down certificate executed on May 1, 2015, but ignored the estoppel certificate received the same day. Both are "closing documents" of comparable importance from the purchaser's perspective. I do not accept that he would read and rely on one but not the other. This is another example of Moe Momen manipulating facts to try to build a case for the defence. Where one document assists the case, he purports to have relied on it; where the other does, not he purports to not have even looked at it. The defence relies heavily on the bring down certificate which was executed on the same day. I do not accept that Moe Momen would treat two important closing documents received on the same day so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course of his evidence, Moe Momen was challenged on why he would not have spoken to the Tenant of the retail building when he had the opportunity to do so or, in any event, prior to entering into the agreement for the acquisition. His response was to the effect that he would not have relied on what the Tenant had to say. On the other hand, he testified that had he known of the Tenant's complaints regarding the roof he would not have proceeded. In my view, this is demonstrative of his willingness to say what seems to him at a given point to be expedient and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Larry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turn next to the considerations that influence my assessment of Larry Wade's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Larry Wade was very clear and confident in saying that he had disclosed the fact of issues with the roof to Mr. Moe Momen during the September 19 meeting. When pressed in cross examination he could only say that he communicated that there were problems with the roof but did or could not provide any evidence as to the specifics of what he said. He also testified that Moe Momen, in response, offered to have his crew look at the roof. He was able to describe in some detail much of the rest of the on-site meeting. That said, his email to the Tenant, referenced in para. 23 above, in which he writes that "the problem may be bigger than a simple fix", had been sent less than two weeks earlier which suggests the issue was very much current in his mind during that time period. It is difficult to reconcile all of this with the absence of recall of his disclosure regarding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My conclusion is that Larry Wade did make some reference to the problem with the roof but did not disclose the entire history. Specifically, he did not disclose the apparent seriousness of the issue or the uncertainty as to how to repair the problems with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His guarded disclosure about the issues with the roof at the September 19 meeting is consistent with his approach to the disclosure of communications with the Tenant about the roof. The terms of the Transaction Agreement required the plaintiff to disclose any communications in the plaintiff's possession or control relating to the plaintiff's dealings with the Tenant with respect to matters under the lease. There is nothing ambiguous or unclear about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Larry Wade rationalized his failure to provide the emails and various communications in his possession about the issues with the roof saying that he did not understand the Transaction Agreement to require that. I am unable to accept such an interpretation of the contract as it is patently clear that such information should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conclusion that I draw, is that Larry Wade was anxious about the impact disclosure of those emails might have on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Larry Wade took specific steps and gave instructions to his counsel to prevent direct contact between the Tenant of the retail building and the defendant. His explanation provided at trial was that he did not want the Tenant to potentially scuttle the sale. He felt that Ms. Werstiuk tended to be too colorful in her descriptions and statements. He says it was not because of the issues with the roof. In reality, the issues with the roof were a major concern to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my observation and conclusion that Larry Wade was indeed actively trying to constrain how and what information was provided to the defendant regarding the issues with the roof. I do not conclude Larry Wade was dishonest in his description of what he told Moe Momen about the roof during the September 19 meeting. I do however conclude that he was then, as he was later, actively constraining the flow of information to the defendant about the roof. This reflects negatively on Larry Wade's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will return to this observation later in my analysis of its impact on the allegation of fraudulent misrepresentation and the concept of deception by half-truths.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only witnesses called by the plaintiff were Larry Wade and an expert engineer, Mr. Slivar. The defendant asked that I draw an adverse inference from the plaintiff's failure to call Paul Wade as a witness, particularly in relation to the plaintiff's evidence on the September 19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law in this area has been summarized recently by our Court of Appeal in two decisions, </w:t>
      </w:r>
      <w:r>
        <w:rPr>
          <w:rFonts w:ascii="arial" w:eastAsia="arial" w:hAnsi="arial" w:cs="arial"/>
          <w:i/>
          <w:color w:val="000000"/>
          <w:sz w:val="20"/>
          <w:lang w:val="en-US" w:eastAsia="en-US" w:bidi="ar-SA"/>
        </w:rPr>
        <w:t>Rohl v. British Columbia (Superintendent of Motor Vehicles)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2018 BCCA 316</w:t>
        </w:r>
      </w:hyperlink>
      <w:r>
        <w:rPr>
          <w:rFonts w:ascii="arial" w:eastAsia="arial" w:hAnsi="arial" w:cs="arial"/>
          <w:color w:val="000000"/>
          <w:sz w:val="20"/>
          <w:lang w:val="en-US" w:eastAsia="en-US" w:bidi="ar-SA"/>
        </w:rPr>
        <w:t xml:space="preserve"> at paras. 1-5 and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Thomasson</w:t>
      </w:r>
      <w:r>
        <w:rPr>
          <w:rFonts w:ascii="arial" w:eastAsia="arial" w:hAnsi="arial" w:cs="arial"/>
          <w:color w:val="000000"/>
          <w:sz w:val="20"/>
          <w:lang w:val="en-US" w:eastAsia="en-US" w:bidi="ar-SA"/>
        </w:rPr>
        <w:t>, the court noted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law relevant to adverse inferences was helpfully summarized in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where Mr. Justice Voith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An adverse inference may be drawn against a party if, without sufficient explanation, that party fails to call a witness who might be expected to provide important supporting evidence if their case was sound... The inference is not to be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Rohl</w:t>
      </w:r>
      <w:r>
        <w:rPr>
          <w:rFonts w:ascii="arial" w:eastAsia="arial" w:hAnsi="arial" w:cs="arial"/>
          <w:color w:val="000000"/>
          <w:sz w:val="20"/>
          <w:lang w:val="en-US" w:eastAsia="en-US" w:bidi="ar-SA"/>
        </w:rPr>
        <w:t>, the Court of Appeal made more fulsome comments. I will excerpt a portion here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 . . Since the scope and effect of the 'adverse inference' doctrine are often misunderstood, I begin with the formulation offered by S.N. Lederman, A.W. Bryant, and M.K. Fuerst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(4th ed., 2009):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civil cases, an unfavourable inference can be drawn when, in the absence of an explanation, a party litigant does not testify, or fails to provide affidavit evidence on an application, or fails to call a witness who would have knowledge of the facts and would be assumed to be willing to assist that party. In the same vein, an adverse inference may be drawn against a party who does not call a material witness over whom he or she has exclusive control and does not explain it away. </w:t>
      </w:r>
      <w:r>
        <w:rPr>
          <w:rFonts w:ascii="arial" w:eastAsia="arial" w:hAnsi="arial" w:cs="arial"/>
          <w:color w:val="000000"/>
          <w:sz w:val="20"/>
          <w:u w:val="single"/>
          <w:lang w:val="en-US" w:eastAsia="en-US" w:bidi="ar-SA"/>
        </w:rPr>
        <w:t>Such failure amounts to an implied admission that the evidence of the absent witness would be contrary to the parties' case, or at least would not support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more succinct definition may be found in Donald Brown, </w:t>
      </w:r>
      <w:r>
        <w:rPr>
          <w:rFonts w:ascii="arial" w:eastAsia="arial" w:hAnsi="arial" w:cs="arial"/>
          <w:i/>
          <w:color w:val="000000"/>
          <w:sz w:val="20"/>
          <w:lang w:val="en-US" w:eastAsia="en-US" w:bidi="ar-SA"/>
        </w:rPr>
        <w:t>Civil Appeals</w:t>
      </w:r>
      <w:r>
        <w:rPr>
          <w:rFonts w:ascii="arial" w:eastAsia="arial" w:hAnsi="arial" w:cs="arial"/>
          <w:color w:val="000000"/>
          <w:sz w:val="20"/>
          <w:lang w:val="en-US" w:eastAsia="en-US" w:bidi="ar-SA"/>
        </w:rPr>
        <w:t xml:space="preserve"> (looseleaf):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adverse inference may be drawn when, without explanation, a party does not give evidence or fails to call a witness who in the circumstances would be expected to favour the party and the witness would have knowledge of the facts in dispute. In such circumstances, the failure to call the witness or give testimony is seen as akin to an admission that the evidence would have been contrary to the party's case, or at least would not support it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It is now generally accepted that it lies in the discretion of the court whether to draw an adverse inference. As stated by Alan W. Mewett and Peter J. Sankoff in </w:t>
      </w:r>
      <w:r>
        <w:rPr>
          <w:rFonts w:ascii="arial" w:eastAsia="arial" w:hAnsi="arial" w:cs="arial"/>
          <w:i/>
          <w:color w:val="000000"/>
          <w:sz w:val="20"/>
          <w:lang w:val="en-US" w:eastAsia="en-US" w:bidi="ar-SA"/>
        </w:rPr>
        <w:t>Witnesses</w:t>
      </w:r>
      <w:r>
        <w:rPr>
          <w:rFonts w:ascii="arial" w:eastAsia="arial" w:hAnsi="arial" w:cs="arial"/>
          <w:color w:val="000000"/>
          <w:sz w:val="20"/>
          <w:lang w:val="en-US" w:eastAsia="en-US" w:bidi="ar-SA"/>
        </w:rPr>
        <w:t xml:space="preserve"> (looseleaf):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considerable number of cases now reinforce the view that there is no such thing as a "mandatory adverse inference" to be drawn where a party fails to call a witness. Rather, the question of whether to make such an inference seems to depend upon the specific circumstances, in particular whether:</w:t>
      </w:r>
    </w:p>
    <w:p>
      <w:pPr>
        <w:numPr>
          <w:numId w:val="6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legitimate explanation for the failure to call the witness;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is within the "exclusive control" of the party, and is not "equally available to both parties"; and</w:t>
      </w:r>
    </w:p>
    <w:p>
      <w:pPr>
        <w:numPr>
          <w:numId w:val="7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has material evidence to provide; and</w:t>
      </w:r>
    </w:p>
    <w:p>
      <w:pPr>
        <w:numPr>
          <w:numId w:val="7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is the only person or the best person who can provide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Essentially, the decision to draw an adverse inference is discretionary and premised on the likelihood that the witness would have given harmful testimony to the party who failed to call him or her. In a case before a jury, where there are circumstances that support the drawing of such an inference, the trial judge should charge the jury that it is "appropriate for a jury to infer, although [jurors] are not obliged to do so, that the failure to call material evidence which was particularly and uniquely available to [a party] was an indication that such evidence would not have been favourable to [that party].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Finally in terms of overview, some authors have distinguished between the issue of whether an adverse inference should be drawn </w:t>
      </w:r>
      <w:r>
        <w:rPr>
          <w:rFonts w:ascii="arial" w:eastAsia="arial" w:hAnsi="arial" w:cs="arial"/>
          <w:i/>
          <w:color w:val="000000"/>
          <w:sz w:val="20"/>
          <w:lang w:val="en-US" w:eastAsia="en-US" w:bidi="ar-SA"/>
        </w:rPr>
        <w:t>where one would be available</w:t>
      </w:r>
      <w:r>
        <w:rPr>
          <w:rFonts w:ascii="arial" w:eastAsia="arial" w:hAnsi="arial" w:cs="arial"/>
          <w:color w:val="000000"/>
          <w:sz w:val="20"/>
          <w:lang w:val="en-US" w:eastAsia="en-US" w:bidi="ar-SA"/>
        </w:rPr>
        <w:t xml:space="preserve">, as opposed to the issue of whether the conditions </w:t>
      </w:r>
      <w:r>
        <w:rPr>
          <w:rFonts w:ascii="arial" w:eastAsia="arial" w:hAnsi="arial" w:cs="arial"/>
          <w:i/>
          <w:color w:val="000000"/>
          <w:sz w:val="20"/>
          <w:lang w:val="en-US" w:eastAsia="en-US" w:bidi="ar-SA"/>
        </w:rPr>
        <w:t>permit</w:t>
      </w:r>
      <w:r>
        <w:rPr>
          <w:rFonts w:ascii="arial" w:eastAsia="arial" w:hAnsi="arial" w:cs="arial"/>
          <w:color w:val="000000"/>
          <w:sz w:val="20"/>
          <w:lang w:val="en-US" w:eastAsia="en-US" w:bidi="ar-SA"/>
        </w:rPr>
        <w:t xml:space="preserve"> the drawing of such an inference.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With respect to its argument that I should draw an adverse inference against the plaintiff, in its written argument submissions, the defendant said:</w:t>
      </w:r>
      <w:r>
        <w:rPr>
          <w:rFonts w:ascii="arial" w:eastAsia="arial" w:hAnsi="arial" w:cs="arial"/>
          <w:sz w:val="20"/>
          <w:lang w:val="en-US" w:eastAsia="en-US" w:bidi="ar-SA"/>
        </w:rPr>
        <w:cr/>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Larry testified that Paul was there when Larry told [Moe Momen] about the Roof issues. But Paul was not called to testify about either the claim [that] Larry told Momen about the roof, or what Larry told Momen about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its written submissions concerning credibility, the defendant said:</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(c) Larry said he told Momen about the Roof issues in front of Paul, but Paul did not attend trial to give evidence. An adverse inference should be drawn from the failure of the Plaintiff to call Paul as witness. The failure to call Paul in this case is a particularly grave problem because Larry claims he does not remember what he told Momen about the Roof. If Larry told Momen about the Roof, while Paul was in the room, presumably Paul could shed some light on what was said (if anything). Alternatively, if the court had 2 people at a meeting with an inability to remember what he said about the Roof issue, that it would have certainly caused concerns about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note there were in fact six people at the September 19 meeting: Larry Wade, Paul Wade, Moe Momen, Mr. Gill, and two other investors who came with Moe Momen. There are critical disputes in respect of that meeting not only in terms of what, if anything, may have been said about the roof, but also the duration of the meeting and the scope of the examination of the properties. Larry Wade testified that Moe Momen and all the investors went inside the retail building with Paul Wade. Moe Momen denies that. Moe Momen said the meeting was very brief and Larry Wade said it was much longer. Any of the other participants, meaning Paul Wade or the other investors, could have given evidence on those subjects or on other aspects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evidence from Moe Momen is that the other investors did not speak English, the inference being that they could add nothing material about the conversation that took place during the meeting. Presumably, they could, however, testify about the nature of the on-site visit, its duration and its scope. Further, Larry Wade testified that Moe Momen provided interpretation of what he or Paul Wade told him to the other individuals. They could have related what Moe Momen provided them in those translations.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Just prior to the commencement of the trial, the plaintiff advised that it was not intending to call Paul Wade. The parties exchanged trial plans and revised plans when changes were made. The defence gave no indication at that time that it would be arguing an adverse inference should be drawn or that it wished Paul Wade to be available. This is not a specific requirement before such an inference can be drawn but when cases are receiving management it is at least relevant that the issue is not raised when the opportunity to do so 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Neither party saw fit to call all witnesses who could give information about the meeting and therefore may have been material witnesses on the issues connected to the meeting. It is not clear on the information I have that the witnesses were not equally available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R. v. Jolivet</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2000 SCC 29</w:t>
        </w:r>
      </w:hyperlink>
      <w:r>
        <w:rPr>
          <w:rFonts w:ascii="arial" w:eastAsia="arial" w:hAnsi="arial" w:cs="arial"/>
          <w:color w:val="000000"/>
          <w:sz w:val="20"/>
          <w:lang w:val="en-US" w:eastAsia="en-US" w:bidi="ar-SA"/>
        </w:rPr>
        <w:t xml:space="preserve"> at paras. 27 to 29, alludes to the fact that there are many reasons trial counsel might decide against calling all available witnesses, unrelated to the truth of the testimony, they have chosen to call. I do not have any clear explanation for why the witnesses were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Nonetheless, I find that I am unable to make a precise finding as to the exact nature of the adverse inferences I should draw, which is what the Court in </w:t>
      </w:r>
      <w:r>
        <w:rPr>
          <w:rFonts w:ascii="arial" w:eastAsia="arial" w:hAnsi="arial" w:cs="arial"/>
          <w:i/>
          <w:color w:val="000000"/>
          <w:sz w:val="20"/>
          <w:lang w:val="en-US" w:eastAsia="en-US" w:bidi="ar-SA"/>
        </w:rPr>
        <w:t>Jolivet</w:t>
      </w:r>
      <w:r>
        <w:rPr>
          <w:rFonts w:ascii="arial" w:eastAsia="arial" w:hAnsi="arial" w:cs="arial"/>
          <w:color w:val="000000"/>
          <w:sz w:val="20"/>
          <w:lang w:val="en-US" w:eastAsia="en-US" w:bidi="ar-SA"/>
        </w:rPr>
        <w:t xml:space="preserve"> at para. 28 cautions is necessary if drawing an adverse inference. This is not a situation where I am prepared to draw adverse inferences and even if I were otherwise inclined the net result would be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Caveat Emptor</w:t>
      </w:r>
      <w:r>
        <w:rPr>
          <w:rFonts w:ascii="arial" w:eastAsia="arial" w:hAnsi="arial" w:cs="arial"/>
          <w:b/>
          <w:color w:val="000000"/>
          <w:sz w:val="20"/>
          <w:u w:val="single"/>
          <w:lang w:val="en-US" w:eastAsia="en-US" w:bidi="ar-SA"/>
        </w:rPr>
        <w:t xml:space="preserve"> and Alleged Defects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Each party opened their submissions with argument as to whether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in the circumstances here. Both parties agree that whether this doctrine applies is important to the outcome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law is not in dispute. Real estate transactions are generally subject to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meaning "let the buyer beware", which denies the purchaser a remedy for certain defects and deficiencies in the quality of a property based on the rationale that the liability for determining those defects rests with the purchaser. In </w:t>
      </w:r>
      <w:r>
        <w:rPr>
          <w:rFonts w:ascii="arial" w:eastAsia="arial" w:hAnsi="arial" w:cs="arial"/>
          <w:i/>
          <w:color w:val="000000"/>
          <w:sz w:val="20"/>
          <w:lang w:val="en-US" w:eastAsia="en-US" w:bidi="ar-SA"/>
        </w:rPr>
        <w:t>Fraser-Reid v. Droumtsekas</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[1980] 1 S.C.R. 720</w:t>
        </w:r>
      </w:hyperlink>
      <w:r>
        <w:rPr>
          <w:rFonts w:ascii="arial" w:eastAsia="arial" w:hAnsi="arial" w:cs="arial"/>
          <w:color w:val="000000"/>
          <w:sz w:val="20"/>
          <w:lang w:val="en-US" w:eastAsia="en-US" w:bidi="ar-SA"/>
        </w:rPr>
        <w:t>, Mr. Justice Dickson, as he was then, stated the following at 723: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common law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has long since ceased to play any significant part in the sale of goods, it has lost little of its pristine force in the sale of land. In 1931, a breach was created in the doctrine that the buyer must beware, with recognition by an English court of an implied warranty of fitness for habitation in the sale of an </w:t>
      </w:r>
      <w:r>
        <w:rPr>
          <w:rFonts w:ascii="arial" w:eastAsia="arial" w:hAnsi="arial" w:cs="arial"/>
          <w:i/>
          <w:color w:val="000000"/>
          <w:sz w:val="20"/>
          <w:lang w:val="en-US" w:eastAsia="en-US" w:bidi="ar-SA"/>
        </w:rPr>
        <w:t>uncompleted</w:t>
      </w:r>
      <w:r>
        <w:rPr>
          <w:rFonts w:ascii="arial" w:eastAsia="arial" w:hAnsi="arial" w:cs="arial"/>
          <w:color w:val="000000"/>
          <w:sz w:val="20"/>
          <w:lang w:val="en-US" w:eastAsia="en-US" w:bidi="ar-SA"/>
        </w:rPr>
        <w:t xml:space="preserve"> house. The breach has since been opened a little wider in some of the states of the United States by extending the warranty to </w:t>
      </w:r>
      <w:r>
        <w:rPr>
          <w:rFonts w:ascii="arial" w:eastAsia="arial" w:hAnsi="arial" w:cs="arial"/>
          <w:i/>
          <w:color w:val="000000"/>
          <w:sz w:val="20"/>
          <w:lang w:val="en-US" w:eastAsia="en-US" w:bidi="ar-SA"/>
        </w:rPr>
        <w:t>completed</w:t>
      </w:r>
      <w:r>
        <w:rPr>
          <w:rFonts w:ascii="arial" w:eastAsia="arial" w:hAnsi="arial" w:cs="arial"/>
          <w:color w:val="000000"/>
          <w:sz w:val="20"/>
          <w:lang w:val="en-US" w:eastAsia="en-US" w:bidi="ar-SA"/>
        </w:rPr>
        <w:t xml:space="preserve"> houses when the seller is the builder and the defect is latent. Otherwise, notwithstanding new methods of house merchandising and, in general, increased concern for consumer protection,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remains a force to be reckoned with by the credulous or indolent purchaser of housing property. Lacking express warranties, he may be in difficulty because there is no implied warranty of fitness for human habitation upon the purchase of a house already completed at the time of sale. The rationale stems from the </w:t>
      </w:r>
      <w:r>
        <w:rPr>
          <w:rFonts w:ascii="arial" w:eastAsia="arial" w:hAnsi="arial" w:cs="arial"/>
          <w:i/>
          <w:color w:val="000000"/>
          <w:sz w:val="20"/>
          <w:lang w:val="en-US" w:eastAsia="en-US" w:bidi="ar-SA"/>
        </w:rPr>
        <w:t>laissez-faire</w:t>
      </w:r>
      <w:r>
        <w:rPr>
          <w:rFonts w:ascii="arial" w:eastAsia="arial" w:hAnsi="arial" w:cs="arial"/>
          <w:color w:val="000000"/>
          <w:sz w:val="20"/>
          <w:lang w:val="en-US" w:eastAsia="en-US" w:bidi="ar-SA"/>
        </w:rPr>
        <w:t xml:space="preserve"> attitudes of the eighteenth and nineteenth centuries and the notion that a purchaser must fend for himself, seeking protection by express warranty or by independent examination of the premises. If he fails to do either, he is without remedy either at law or in equity, in the absence of fraud or fundamental difference between that which was bargained for and that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That decision was characterized as a leading decision by the B.C. Court of Appeal in </w:t>
      </w:r>
      <w:r>
        <w:rPr>
          <w:rFonts w:ascii="arial" w:eastAsia="arial" w:hAnsi="arial" w:cs="arial"/>
          <w:i/>
          <w:color w:val="000000"/>
          <w:sz w:val="20"/>
          <w:lang w:val="en-US" w:eastAsia="en-US" w:bidi="ar-SA"/>
        </w:rPr>
        <w:t>Nixon v. MacIver</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2016 BCCA 8</w:t>
        </w:r>
      </w:hyperlink>
      <w:r>
        <w:rPr>
          <w:rFonts w:ascii="arial" w:eastAsia="arial" w:hAnsi="arial" w:cs="arial"/>
          <w:color w:val="000000"/>
          <w:sz w:val="20"/>
          <w:lang w:val="en-US" w:eastAsia="en-US" w:bidi="ar-SA"/>
        </w:rPr>
        <w:t>. The court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doctrine continues to apply to real estate transactions in this province, subject to certain exceptions: fraud, non-innocent misrepresentation, an implied warranty of habitability for newly-constructed homes, and a duty to disclose latent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vendor has an obligation to disclose a material </w:t>
      </w:r>
      <w:r>
        <w:rPr>
          <w:rFonts w:ascii="arial" w:eastAsia="arial" w:hAnsi="arial" w:cs="arial"/>
          <w:color w:val="000000"/>
          <w:sz w:val="20"/>
          <w:u w:val="single"/>
          <w:lang w:val="en-US" w:eastAsia="en-US" w:bidi="ar-SA"/>
        </w:rPr>
        <w:t>latent</w:t>
      </w:r>
      <w:r>
        <w:rPr>
          <w:rFonts w:ascii="arial" w:eastAsia="arial" w:hAnsi="arial" w:cs="arial"/>
          <w:color w:val="000000"/>
          <w:sz w:val="20"/>
          <w:lang w:val="en-US" w:eastAsia="en-US" w:bidi="ar-SA"/>
        </w:rPr>
        <w:t xml:space="preserve"> defect to prospective buyers if the defect renders a property dangerous or unfit for habitation. A latent defect is one that is not discoverable by a purchaser through reasonable inspection inquiries. See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Cardwell et al v. Perthen et al</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 SC</w:t>
      </w:r>
      <w:r>
        <w:rPr>
          <w:rFonts w:ascii="arial" w:eastAsia="arial" w:hAnsi="arial" w:cs="arial"/>
          <w:color w:val="000000"/>
          <w:sz w:val="20"/>
          <w:lang w:val="en-US" w:eastAsia="en-US" w:bidi="ar-SA"/>
        </w:rPr>
        <w:t xml:space="preserve">], aff'd </w:t>
      </w:r>
      <w:hyperlink r:id="rId615"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 CA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summary,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remains very much alive in the context of real estate transactions in BC: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Cardwell 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Wescan CA</w:t>
      </w:r>
      <w:r>
        <w:rPr>
          <w:rFonts w:ascii="arial" w:eastAsia="arial" w:hAnsi="arial" w:cs="arial"/>
          <w:color w:val="000000"/>
          <w:sz w:val="20"/>
          <w:lang w:val="en-US" w:eastAsia="en-US" w:bidi="ar-SA"/>
        </w:rPr>
        <w:t xml:space="preserve">. In general, purchasers bear the risk of defects in the quality of a property. Liability for this risk may shift to the vendor where there is established: (i) a breach of contract; (ii) active concealment (i.e., fraud); (iii) non-innocent misrepresentation; or (iv) an implied warranty of habitability in the case of newly-constructed homes. Liability for this risk may also shift where latent defects are established that render a property dangerous or uninhabitable. In short, a vendor has a common law duty to disclose: (i) a latent defect that is not discoverable through a reasonable inspection or through reasonable inquiries; and (ii) the latent defect renders the property dangerous or unfit for habitation. If a defect does not render a property dangerous or uninhabitable,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regardless of whether the defect in question is patent or latent.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Here there is no dispute that the roof leaks or that it is a patent defect. The other alleged deficiencies are disputed but, if they exist or can properly be characterized as deficiencies, they too are clearly patent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because none of the exceptions set out above are made out, the defendant's counterclaim based on these defects must fail. The only issue that would remain would be the plaintiff's claim for payment pursuant to the Consulting Agreement. Untangled from the defendant's assertions in its counterclaim, the plaintiff's claim would fall to be determined on the terms of the Consulting Agreement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defendant says that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apply to the leaking roof or other defects it has alleged because of express warranties in the Transaction Agreement and/or because of fraudulent misrepresentations in respect of the leaking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Alleged Breaches of the Express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Accordingly, the first issue that I will address is whether there are express warranties either in respect of the roof or the other alleged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an important distinction between the roof and the other alleged deficiencies in the context of the terms relied on by the defendant. The roof can only be captured by general catchment provisions of the Transaction Agreement. The other deficiencies, as alleged, represent breaches of specific assurances that there are no building code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This distinction is illustrated by reference to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The Supreme Court of Canada provides a helpful discussion about what constitutes a warranty and the remedies available if breach of a warranty is established. I will return to the comments on remedies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the agreement of purchase and sale contained a proviso to the obligation to complete that read "providing that the Vendor has disclosed to the Purchaser all outstanding infractions and orders requiring work to be done on the premises issued by any municipal or provincial or federal authority in respect to the premises referred to herein." A key question was whether those words constituted an express warranty, the breach of which would entitle the purchaser in the case to succeed, despite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which would otherwise have applied. At 731-734,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A warranty is a term in a contract which does not go to the root of the agreement between the parties but simply expresses some lesser obligation, the failure to perform which can give rise to an action for damages, but never to the right to rescind or repudiate the contract: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(1976), p. 285. An affirmation at the time of sale is a warranty provided it appears on the evidence to have been so intended: per Buller J. in </w:t>
      </w:r>
      <w:r>
        <w:rPr>
          <w:rFonts w:ascii="arial" w:eastAsia="arial" w:hAnsi="arial" w:cs="arial"/>
          <w:i/>
          <w:color w:val="000000"/>
          <w:sz w:val="20"/>
          <w:lang w:val="en-US" w:eastAsia="en-US" w:bidi="ar-SA"/>
        </w:rPr>
        <w:t>Paisley v. Freeman</w:t>
      </w:r>
      <w:r>
        <w:rPr>
          <w:rFonts w:ascii="arial" w:eastAsia="arial" w:hAnsi="arial" w:cs="arial"/>
          <w:color w:val="000000"/>
          <w:sz w:val="20"/>
          <w:lang w:val="en-US" w:eastAsia="en-US" w:bidi="ar-SA"/>
        </w:rPr>
        <w:t xml:space="preserve"> [(1789), 3 T.R. 51 (K.B.D.)]. No special form of words is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assertion by the vendor of the fact of which the buyer is ignorant is a criterion of value in determining whether a warranty was intended: </w:t>
      </w:r>
      <w:r>
        <w:rPr>
          <w:rFonts w:ascii="arial" w:eastAsia="arial" w:hAnsi="arial" w:cs="arial"/>
          <w:i/>
          <w:color w:val="000000"/>
          <w:sz w:val="20"/>
          <w:lang w:val="en-US" w:eastAsia="en-US" w:bidi="ar-SA"/>
        </w:rPr>
        <w:t>Heilbut, Symons &amp; Co. v. Buckleton</w:t>
      </w:r>
      <w:r>
        <w:rPr>
          <w:rFonts w:ascii="arial" w:eastAsia="arial" w:hAnsi="arial" w:cs="arial"/>
          <w:color w:val="000000"/>
          <w:sz w:val="20"/>
          <w:lang w:val="en-US" w:eastAsia="en-US" w:bidi="ar-SA"/>
        </w:rPr>
        <w:t xml:space="preserve"> [[1913] A.C. 30 (H.L.)]. In the present agreement, I would read the proviso as an undertaking or promise on the part of the vendor to disclose to the purchaser, in respect of the premises, (a) all outstanding infractions, and (b) all orders requiring work to be done on the premises issued by any municipal or provincial or federal authority. The causes and assurance of compliance with statutory duty. It is an affirmation of fact and not merely a matter of opinion. The word "infractions" obviously refers to infractions of applicable building bylaws rules or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because of the Vendor's silence, the closing proceeded and title passed to the Purchaser, but the Purchaser was deprived of his opportunity to refuse to close. Had he been aware of the infraction he could have insisted upon the Vendor complying with the bylaw before the agreement was closed. He has, therefore, suffered damage and in the amount assessed by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t>
      </w:r>
      <w:r>
        <w:rPr>
          <w:rFonts w:ascii="arial" w:eastAsia="arial" w:hAnsi="arial" w:cs="arial"/>
          <w:color w:val="000000"/>
          <w:sz w:val="20"/>
          <w:u w:val="single"/>
          <w:lang w:val="en-US" w:eastAsia="en-US" w:bidi="ar-SA"/>
        </w:rPr>
        <w:t>The distinction between representation and warranty is often tenuous. It is said that a representation is that which precedes and induces the contract where as a warranty is embodied in, and is given contemporaneously with, the contract</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provision in the agreement in the case at bar is, in my opinion, neither a representation nor innocent. It was a promise as to a certain state of affairs and collateral to the main purpose of the contract, which was the transfer the property in the land. It was knowingly breached by the builder. There was an infraction of the building bylaw, affecting a vital part of the building, the foundation. The breach was one which could not possibly have been discovered by ordinary inspection for the foundation had been covered up, and the defect hidden, before the sale agreement was entered into.</w:t>
      </w:r>
      <w:r>
        <w:rPr>
          <w:rFonts w:ascii="arial" w:eastAsia="arial" w:hAnsi="arial" w:cs="arial"/>
          <w:color w:val="000000"/>
          <w:sz w:val="20"/>
          <w:lang w:val="en-US" w:eastAsia="en-US" w:bidi="ar-SA"/>
        </w:rPr>
        <w:t xml:space="preserve"> The infraction was not disclosed the purchaser. The words in question, in my view, constitute a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Non-Compliance with Building Code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the accepted offer to purchase, clause 7 is titled "Warranties and Representations". Clause 7.1(l), as set out above, specifically references building bylaw compliance. No specific arguments were made as to this language but I will proceed on the basis that the language would include building code compliance. This term is very similar to what was being considered in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and, I am satisfied, constitutes an express warranty. As a result, if any or all of the violations are proved,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apply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also alleges that "the courts have carved out an exception to the doctrine for violations of zoning bylaws and building codes". This specific assertion was not developed or pursued in argument. Given the terms of the Transaction Agreement and my conclusions in the previous paragraph, it is not necessary to address this proposition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Having concluded there is an express warranty that there were no building code violations, I will turn to whether the defendant has proved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relies on the report of its expert, Mr. Khangura. The defendant acknowledges issues with the evidence of Mr. Khangura, but maintains that some of the deficiencies referenced in his report have been proved and indicate that the defendant is entitled to damages. Essentially, in its written argument the defendant conceded that only those issues that were not specifically addressed by the plaintiff's expert Mr. Slivar have been proved. At paras. 20 and 21 of the amended response to civil claim, the defence alleged:</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after May 1, 2015, the defendant learned that:</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parking lot surrounding the Building had not been paved prior to the Closing Date in violation of the applicable building codes, bylaws, ordinances and regulations, and this was not completed or disclosed by the plaintiff;</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conduit for the Building had been installed inches below the ground, and the electrical installations generally were completed in violation of the applicable building codes, bylaws, ordinances and regulations, and this was not repaired or disclosed by the plaintiff (and this constituted a severe and immediate safety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of the Building was making a loud rattling noise in even moderate winds prior to the Closing Date because it was built in violation of the applicable building codes, bylaws, ordinances and regulations, and this was not repaired or disclosed by the plaintiff;</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sidewalk surrounding the building had subsided creating a tripping hazard in violation of the applicable building codes, bylaws, ordinances and regulations, and this was not repaired or disclosed by the plaintiff;</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concrete floors of the Building had not been sealed in violation of the applicable building codes, bylaws, ordinances and regulations, and this was not completed or disclosed by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heating system was insufficient to heat the Building during the winter months and was not fit for its intended purpose, merchantable and reasonably durable, and this was not repaired or disclosed by the plaintiff;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his report, Mr. Khangura indicated that there were nine building code violations. They are fairly summarized by the plaintiff's expert Mr. Slivar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1: The possible lack of insulation under concrete slab, on foundation walls and the storage room overhead doors in Building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2: Failing to provide an adequate heating system for the storage rooms in Building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3: Failing to maintain the integrity of the fire separation at the electrical/ mechanical room demising walls of the Retail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4: Failing to comply with geotechnical report recommendations for drainage for all buildings;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5: Failing to maintain adequate temperature in the electrical room in Building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6: Failing to provide adequate ground cover over the electrical cable between Buildings A and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7: Failing to maintain adequate temperature in the warehouse area within the Retail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8: Failing to provide emergency lighting in the Retail Building mechanical room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Code Violation 9: Failing to provide drain pan underneath the hot water tank in the Retail Building mechanical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respect of alleged code violation numbers 3, 4, 6 and 8, Mr. Slivar had no specific response. I will deal specifically with those as the defence has indicated those are the only alleged violations it is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Before dealing specifically with those alleged violations, I wish to make some general observations regarding Mr. Khangura's report and the extent to which I can rely on Mr. Khangura's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By way of example, in reviewing Mr. Khangura's report, it is apparent that he has relied on some undisclosed sources of information regarding the presence or absence of insulation. It would appear his conclusion is that there is no insulation and therefore the construction does not meet the building code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provided an estimation of $150,000 to $200,000 to remedy inadequate insulation but he failed to establish a factual foundation for the estimate. He acknowledges that he did not get any quotes and advises that he did not have the time or sufficient particulars to be able to do so. I can attach no evidentiary value to such an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order to assess the weight to be given to an expert's opinion, the facts underlying that opinion must be established. Mr. Khangura does not provide this information in his report and it was not otherwise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Khangura also refers to getting some information from a supplier of doors in his evidence but this is not referenced anywhere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He acknowledges being unaware of the construction dates, but explains that changes to the building code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his evidence, and in his report, Mr. Khangura refers to the adequacy of the heat ventilation without sharing any of his calculations or his methodology for reaching that conclusion. He simply makes the statement in his report and in his evidence on the basis that he found it was inadequate. In my view, this is a wholly inadequate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report was apparently prepared together with an electrical engineer. It is not clear from the report what portions of any opinions expressed are those of the electrical engineer and there is no statement from that individual that he understands or appreciates his role as an expert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report, aside from referring to the electrical engineer and attaching his curriculum vitae, does nothing to identify what that individual's role or involvement was in the preparation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report itself is very brief, consisting of seven pages. There are several appendices. The connection between and relevance of the appendices relative to the content of the report itself is not made clear. The opinions are largely statements of conclusion without providing an explanation as to how the conclusion was reached. Such explanation is necessary for a trier of fact to have the ability to assess the merits of the opinion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With those observations of the general shortcomings of Mr. Khangura's evidence, I return to the specific building code violations identified by Mr. Khangura that the defence pursued at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Alleged Code Violation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report states that there was a violation of the B.C. Building Code 2012 due to "failing to maintain the integrity of fire separation at the electrical/mechanical room demising walls". The explanation contained in the report is simply a statement of what is required by B.C. Building Code 2012 with no indication of why this particular building is in violation of that code or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my view, the opinion expressed fails to provide the necessary foundation for concluding that there is in fact a violation in this respect.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Alleged Code Violation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the allegation that the buildings do not comply with draining recommendations, Mr. Khangura appears to rely on a "geotechnical investigation report" completed on May 15, 2013. A portion of that report consisting of pages 9 and 10 of 13 is attached to Mr. Khangura's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There is no comment in Mr. Khangura's report as to the accuracy of the 2013 report or the necessity of satisfying its recommendations. There is certainly no indication that by not following the recommendations the structures violated any building code or other construction design requirements. As such, I similarly do not have the evidence to conclude this non-compliance amounts to a breach.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Alleged Code Violation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noted in the Background section of this decision that during the construction phase electrical service had been acquired from the Quonset building via cables buried shallow beneath the ground. After construction was complete, the cable was left in the ground but was disconnected at both ends and therefore was "decommissioned". Mr. Khangura made observations regarding the depth and the manner in which the cable had been buried without indicating whether he determined if the cable was live and was actually being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am unable to determine from his report or from his evidence whether the conduit to which he referred had been decommissioned such that it was not energized or being used in any way. He appears to have simply made the assumption that it was energized. It cannot be a code violation to simply have a piece of unused cable buried beneath the ground and not connected at either end nor energized in any way. Therefore I do not accept that there has been a violation in this respect.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Alleged Code Violation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Mr. Khangura's report simply indicates that the building code requires all service rooms have emergency lighting and that "there is no emergency lighting installed in the mechanical room." This is not an issue upon which Mr. Slivar provided comment nor was it the subject of comment in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 I am left with very limited evidence. On its face, this alleged deficiency would seem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to the cost of repair, in his report, Mr. Khangura listed as the cost for correcting the electrical deficiencies by providing a collective total. Specifically, he said "to correct the installation of underground electrical conductors and to add emergency lighting in a mechanical room the cost estimate is $25,000. There will be an additional excavation and backfilling cost from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Neither in his report nor in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has Mr. Khangura provided an actual explanation of his estimation. Certainly there is no ability on my part to know what the costs of simple installation of emergency lighting would be. As such, although I accept that this deficiency is made out, I am not equipped to make an order for damages for this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Alleged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 raises other issues, including the paving of parking lots, but I was not presented with any evidence to indicate this is a code violation or something that had been the subject of specific representation or warranty. There is certainly nothing in the agreements themselves that refer to the paving of the parking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Similarly there is a complaint as to the status of a front step or exterior step leading to the entry to the retail building but again I have no evidence to establish that was code violation and no basis upon which to conclude there is any liability on the part of the plaintiff to the defendant in this regard. The same can be said of a complaint about dust emanating from the concrete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also complains of the presence on completion of building debris and/or garbage in and around the retail building, which caused various inconveniences to the defendant. None of these complaints were proved, nor did the defendant establish that any of them amounted to breaches of the express warranties in the Transaction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such, I find that none of these claims are made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dealing with the roof, the alleged express warranties are less specific. The defence focussed on the generic obligations to disclose documents and material facts. The defence argues that compliance with these obligations would have resulted in the defendant having more information available to it regarding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defendant's position is that the document disclosure obligations (clause 6.1, clause 7.1(i), and s. 7 of Schedule B), the references to the status of the lease (clauses 7.1(n)(i) and (iv) and s. 1 of Schedule B), and the obligation to disclose "any material fact or information" (clause 7.1(o)) capture the information about the leaking roof that the plaintiff failed to disclose and constitute express warranties. Accordingly, the defendant says these express warranties were breached and therefore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apply in relation to the leaking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pleadings also reference the language in the assignment of leases (see para. 48 of these reasons). This was not dealt with in oral or written submissions. The amended counterclaim at para. 31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HSL's representation that all covenants on the part of the landlord in each Lease had been fully and properly observed and performed was inconsistent with the fact that there was water falling inside the Speedy [sic] Building interfering with the quiet enjoyment of the tenant and inconsistent with the basic purpose for which the tenant rented the Speedy [sic]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Clause 3(g) of the assignment of leases, which formed part of the Transaction Agreement, provides that the plaintiff was not "in default, in any material respect of their obligations under the Leases". In the plaintiff's lease agreement with the Tenant, clause 5.02 provides that the plaintiff "shall be responsible for structural repairs to the roof [and] roof structure" among other things. At issue, in assessing whether the plaintiff is in breach of clause 3(g) then, assuming it is a warranty, is whether the plaintiff was in default with respect to its obligation under clause 5.02 in its lease with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only witness at trial connected to the Tenant was Ms. Werstiuk. She did not specifically testify as a representative of the corporate Tenant and did not articulate a position on behalf of the Tenant relative to the terms of the lease or any suggested or asserted breach. The comments inserted by the Tenant about the leaking roof into the estoppel certificate are set out above para. 45. A letter from counsel for the Tenant to counsel for the plaintiff on February 3, 2015, was introduced into evidence and it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your client will be aware, there are some outstanding matters and issues with respect to the premises and we trust that this information will be drawn to the attention of the purchaser and/or attended to before closing. In particular, we are advised as follows:</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during periods of melting snow or when it rains heavily, the roof leaks and it leaks significantly. Also during a period of recent high winds, that the roof could be heard lifting and banging;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the whole of the evidence, I am satisfied that the plaintiff had been actively looking for a solution to the issues with the roof. Initially it sought to accomplish this through the holdback referenced above and then through discussions and inquiries. While the pace and progress could be criticized, there is no evidence that the plaintiff had rejected or dismissed the Tenant's concerns or denied that the issue was that of the plaintiff's to resolve. The Tenant had not taken any steps to indicate it viewed the situation differently and certainly had not asserted any breach of the plaintiff's lease obligations. On the evidence before me I do not conclude that the plaintiff's representations in relation to the state of the lease were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 turn next to the other terms relied on by the defendant. I must determine if any or all of these terms, being the contractual obligations to disclose and the assurances in the bring down certificate and offer to purchase, constitute express warranties that would prevent the plaintiff from relying on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in relation to the roof leaks. Drawing on the description of express warranties in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I note these contractual terms are not positive representations regarding the condition of the building or more specifically the roof. They are, as a result, materially different than the warranties in the sense or of the nature described in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which had the effect of displacing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They are not positive statements regarding the quality or nature of the buildings and are not express warranties as to the condition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139 quoted above, the court references the obligation to disclose "a material latent defect to prospective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Counsel have not referenced any authority which has found that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operate where there is a contractual obligation to disclose documents and any "material fact or information". Such a conclusion it would seem would have broad implications. If the issue here was a latent defect, the result may be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It is my conclusion that these contractual obligations to disclose documents and any "material fact or information" are not express warranties as to the condition of the building that would displace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Alleged Breaches of Express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sum, it is my conclusion that there has been no breach of express warranty by the plaintiff that is relevant to the roof leaks. The result is that these provisions of the Transaction Agreement do not operate to displace the operation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as it relates to the roof. My findings are however relevant to the alleged misrepresentations which are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Further, the defendant has proved only a single breach of the express warranty that extends to the alleged building code violations. This breach of warranty would entitle the defendant to damages, however I have not been provided sufficient evidence as to the cost of installing emergency lighting in the mechanical room. Considering the defendant failed to quantify damages for this breach, I am unable to order an award for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Deceit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As noted earlier, the defendant also advanced the argument that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does not apply to the leaking roof because the plaintiff made fraudulent misrepresentations with respect to condition of the roof and/or actively concealed the condition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Mr. Justice Pearlman recently summarized requirements for a claim of fraudulent misrepresentation in </w:t>
      </w:r>
      <w:r>
        <w:rPr>
          <w:rFonts w:ascii="arial" w:eastAsia="arial" w:hAnsi="arial" w:cs="arial"/>
          <w:i/>
          <w:color w:val="000000"/>
          <w:sz w:val="20"/>
          <w:lang w:val="en-US" w:eastAsia="en-US" w:bidi="ar-SA"/>
        </w:rPr>
        <w:t>Wang v. Shao</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2018 BCSC 377</w:t>
        </w:r>
      </w:hyperlink>
      <w:r>
        <w:rPr>
          <w:rFonts w:ascii="arial" w:eastAsia="arial" w:hAnsi="arial" w:cs="arial"/>
          <w:color w:val="000000"/>
          <w:sz w:val="20"/>
          <w:lang w:val="en-US" w:eastAsia="en-US" w:bidi="ar-SA"/>
        </w:rPr>
        <w:t>, at para. 196: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[196] In order to succeed on a claim of fraudulent misrepresentation the defendant must establish the following elements:</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made a representation of fact to the purchaser;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 in fact;</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knew the representation was false when it was made, or made the false representation recklessly, not knowing if it was true or false;</w:t>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intended the purchaser to act on the representation;</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was induced to enter into contract in reliance upon the false representation and thereby suffered a detriment.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Hamilton v. Callaway</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2016 BCCA 189</w:t>
        </w:r>
      </w:hyperlink>
      <w:r>
        <w:rPr>
          <w:rFonts w:ascii="arial" w:eastAsia="arial" w:hAnsi="arial" w:cs="arial"/>
          <w:color w:val="000000"/>
          <w:sz w:val="20"/>
          <w:lang w:val="en-US" w:eastAsia="en-US" w:bidi="ar-SA"/>
        </w:rPr>
        <w:t xml:space="preserve"> at para. 25; and </w:t>
      </w:r>
      <w:r>
        <w:rPr>
          <w:rFonts w:ascii="arial" w:eastAsia="arial" w:hAnsi="arial" w:cs="arial"/>
          <w:i/>
          <w:color w:val="000000"/>
          <w:sz w:val="20"/>
          <w:lang w:val="en-US" w:eastAsia="en-US" w:bidi="ar-SA"/>
        </w:rPr>
        <w:t>Van Beek v. Dodd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BCSC 1639</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That decision is also relied on by the defendant to support its argument that the plaintiff made representations that were in fact false by withholding necessary information. Such conduct is described as deceit by half-truth.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Here, on the first element of the test for fraudulent misrepresentation, the plaintiff, through Mr. Yee, made a representation of fact that the reason she was selling the property was that Ms. Yuan's daughter had moved to a school in West Vancouver where she would have a better chance to practice her English.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[203] That representation, while true on its face, was incomplete. It concealed the fact that Ms. Yuan's daughter changed schools as a result of Mr. Huang's death, and that the death was a factor in the plaintiff's decision to sell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[204] Regarding the second element, the defendant has established, on the balance of probabilities, that the plaintiff's representation of her reason for selling the property, as communicated by Ms. Yuan to Mr. Yee and then repeated by him to Ms. Shao through her agent, was a false representation by omission.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[205] An incomplete representation of material facts may amount to an actionable falsehood: </w:t>
      </w:r>
      <w:r>
        <w:rPr>
          <w:rFonts w:ascii="arial" w:eastAsia="arial" w:hAnsi="arial" w:cs="arial"/>
          <w:i/>
          <w:color w:val="000000"/>
          <w:sz w:val="20"/>
          <w:lang w:val="en-US" w:eastAsia="en-US" w:bidi="ar-SA"/>
        </w:rPr>
        <w:t>Van Beek</w:t>
      </w:r>
      <w:r>
        <w:rPr>
          <w:rFonts w:ascii="arial" w:eastAsia="arial" w:hAnsi="arial" w:cs="arial"/>
          <w:color w:val="000000"/>
          <w:sz w:val="20"/>
          <w:lang w:val="en-US" w:eastAsia="en-US" w:bidi="ar-SA"/>
        </w:rPr>
        <w:t xml:space="preserve">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[206] As Fenlon J., as she then was, stated in </w:t>
      </w:r>
      <w:r>
        <w:rPr>
          <w:rFonts w:ascii="arial" w:eastAsia="arial" w:hAnsi="arial" w:cs="arial"/>
          <w:i/>
          <w:color w:val="000000"/>
          <w:sz w:val="20"/>
          <w:lang w:val="en-US" w:eastAsia="en-US" w:bidi="ar-SA"/>
        </w:rPr>
        <w:t>Battrum v. MacKenzie Estate</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 . . In S.M.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5th ed. (Toronto: Canadian Law Book Inc., 1999), Professor Waddams suggests at para. 436 that an incomplete representation may amount to an actionable falsehood: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 An incomplete statement may be as misleading as a false one, and such half-truths have frequently been treated as legally significant misrepresentations. Almost always something is said to induce the transaction and it is open to the court to hold that the concealment of the material facts can, when taken with general statements, true in themselves but incomplete, turn those statements into misrepresentations.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concept of deceit by incomplete disclosure was contemplated by the court in </w:t>
      </w:r>
      <w:r>
        <w:rPr>
          <w:rFonts w:ascii="arial" w:eastAsia="arial" w:hAnsi="arial" w:cs="arial"/>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(1980), 21 B.C.L.R. 345</w:t>
        </w:r>
      </w:hyperlink>
      <w:r>
        <w:rPr>
          <w:rFonts w:ascii="arial" w:eastAsia="arial" w:hAnsi="arial" w:cs="arial"/>
          <w:color w:val="000000"/>
          <w:sz w:val="20"/>
          <w:lang w:val="en-US" w:eastAsia="en-US" w:bidi="ar-SA"/>
        </w:rPr>
        <w:t xml:space="preserve"> (S.C.) at 352: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 . . While it is true that in Canada the concept of fraudulent concealment by silence alone has not gained the acceptance which it has found in the United States governing the sale of land, the concept of deceit by incomplete disclosure which is here recognized may impose very similar obligations on a vendor who answers a prospective purchaser's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This concept was applied in the decision of </w:t>
      </w:r>
      <w:r>
        <w:rPr>
          <w:rFonts w:ascii="arial" w:eastAsia="arial" w:hAnsi="arial" w:cs="arial"/>
          <w:i/>
          <w:color w:val="000000"/>
          <w:sz w:val="20"/>
          <w:lang w:val="en-US" w:eastAsia="en-US" w:bidi="ar-SA"/>
        </w:rPr>
        <w:t>Doan v. Killins</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[1996] B.C.J. No. 3091</w:t>
        </w:r>
      </w:hyperlink>
      <w:r>
        <w:rPr>
          <w:rFonts w:ascii="arial" w:eastAsia="arial" w:hAnsi="arial" w:cs="arial"/>
          <w:color w:val="000000"/>
          <w:sz w:val="20"/>
          <w:lang w:val="en-US" w:eastAsia="en-US" w:bidi="ar-SA"/>
        </w:rPr>
        <w:t>, in which the court found that after the parties signed the contract of purchase and sale for a residential property, the vendor ". . . said just enough about the existence of encroachments to attempt to argue later that he had made a disclosure about the problem. . . In fact, of course, he was careful not to say so much as to alert the plaintiffs to the real problem." In those circumstances the communications, or lack thereof, were found to constitute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earlier indicated, the defendant alleged four representations or four sets of representations, two of which related to the plaintiff's disclosure obligations as set out in the offer to purchase and bring down certificate, which were discussed above. For the purposes of the fraudulent misrepresentations, I will focus specifically on the first two representations alleged:</w:t>
      </w:r>
      <w:r>
        <w:rPr>
          <w:rFonts w:ascii="arial" w:eastAsia="arial" w:hAnsi="arial" w:cs="arial"/>
          <w:sz w:val="20"/>
          <w:lang w:val="en-US" w:eastAsia="en-US" w:bidi="ar-SA"/>
        </w:rPr>
        <w:cr/>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Larry Wade's alleged oral statements about the retail building being "the best in Fort St. John" and having a "lifetime warranty";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in Larry Wade's March 26, 2015 email with respect to the quality of construction and materials in the retail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must however be considered in the context of the disclosure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Counsel did not advance any arguments about the timing of the various allegations relative to acceptance of the offer to purchase or the closing date and how or if that should influence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For the reasons set out earlier, I reject the assertion that Larry Wade told Moe Momen that the building was the best building in Fort St. John or that it had a lifetime warranty. I do not accept Moe Momen's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is no doubt, of course, that Larry Wade authored the March 26, 2015 email where he comments on the quality of construction. However, the context in which that email was sent must be considered in assessing the nature of the representation. It immediately followed Larry Wade having received the appraisal report from Moe Momen. The appraisal report spoke of the issues with the roof of the retail building and also of the general construction. At the time, Moe Momen was wavering on whether he wished to proceed with the transaction based on the valuation set out in the appraisal. Larry Wade was endeavouring to convince Moe Momen that the appraisal had failed to take into account relevant considerations. Moe Momen says that he had not read the portion of the appraisal that touched on the problems with the roof but, as noted earlier, I do not accept Moe Momen's evidence on that point. Even if true, that was not known to Larry Wade. In that context, it is not surprising that further reference to the issues with the roof would not have been made by Larry Wade as he would logically presume that Moe Momen had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With respect to the specific representations in the email, I do not find them to be untrue or incomplete. To extol the virtues of the construction and materials of the building is not inconsistent with there being issues with the roof leaking. Buildings can be made of high-quality materials and well constructed but have issues that need to be addressed. As an analogy, I reference an automobile. A high-value car that is notoriously well-built might have an engine or transmission problem but remain a high-value automobile. In that sense, I do not find that this representation was false in fact. In addition, I accept that Larry Wade had at least made some reference to the fact that there were problems with the roof in the September 19 meeting. He testified that Moe Momen responded by offering to have contractors he had working on a Best Western hotel in Fort St. John attend to look at the roof. He testified that Moe Momen and his group went inside the retail building and therefore were given the ability to speak to the manager for the Tenant although he did not know what might have been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must, however, determine if the collective effect of the actions of the plaintiff amount to a half-truth. The obligation under the Transaction Agreement to disclose the emails had not been met, as I have discussed in the context of my comments on Larry Wade's credibility and in addressing the alleged breaches of express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Larry Wade was unwilling to share the email communications from the Tenant and certainly was not fully candid in what limited description of the roof leak he gave at the September 19 meeting. He did not allow a request by the Tenant to speak directly to the defendant. Similar to the situation in </w:t>
      </w:r>
      <w:r>
        <w:rPr>
          <w:rFonts w:ascii="arial" w:eastAsia="arial" w:hAnsi="arial" w:cs="arial"/>
          <w:i/>
          <w:color w:val="000000"/>
          <w:sz w:val="20"/>
          <w:lang w:val="en-US" w:eastAsia="en-US" w:bidi="ar-SA"/>
        </w:rPr>
        <w:t>Doan</w:t>
      </w:r>
      <w:r>
        <w:rPr>
          <w:rFonts w:ascii="arial" w:eastAsia="arial" w:hAnsi="arial" w:cs="arial"/>
          <w:color w:val="000000"/>
          <w:sz w:val="20"/>
          <w:lang w:val="en-US" w:eastAsia="en-US" w:bidi="ar-SA"/>
        </w:rPr>
        <w:t>, the goal was to provide as little information as possible; to manage and limit the flow of information about the roof leak to the defendant. However, that control did not extend to the appraisal or the estoppel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all of those circumstances, I do conclude that Larry Wade's efforts amount to a false representation of fact, a half-truth. He did this deliberately and intended this to be relied upon. His efforts to constrain and manage the flow of information to the defendant went too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only element of fraud or deceit that remains to be considered is whether the defendant relied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V. Di Castri, </w:t>
      </w:r>
      <w:r>
        <w:rPr>
          <w:rFonts w:ascii="arial" w:eastAsia="arial" w:hAnsi="arial" w:cs="arial"/>
          <w:i/>
          <w:color w:val="000000"/>
          <w:sz w:val="20"/>
          <w:lang w:val="en-US" w:eastAsia="en-US" w:bidi="ar-SA"/>
        </w:rPr>
        <w:t>The Law of Vendor and Purchaser</w:t>
      </w:r>
      <w:r>
        <w:rPr>
          <w:rFonts w:ascii="arial" w:eastAsia="arial" w:hAnsi="arial" w:cs="arial"/>
          <w:color w:val="000000"/>
          <w:sz w:val="20"/>
          <w:lang w:val="en-US" w:eastAsia="en-US" w:bidi="ar-SA"/>
        </w:rPr>
        <w:t>, 3rd Ed., Vol. 1 (Toronto: Carswell, 1988) at p. 7-7, the author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Relief against misrepresentation is not granted if it was not material to the transaction, and did not operate on the mind of the person seeking such relief so as to induce him to enter into the contract and thus affect his interest. Inducement cannot be inferred in law from proven materiality, but, if the court can see on the face of a statement that it is of such a nature as would induce a person to enter into a contract or would tend to induce him to do so, the inference of fact may be justified that he acted, on entering into the contract, upon inducement held out. That inference may be rebutted by showing that he knew the truth before entering into the contract and therefore could not have been induced by the misstatement or that he did not rely upon the truth of the statement whether he knew the fact or not. The inducement and the materiality are separate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provided a helpful discussion of the issue of inducement and reliance in the context of a half-truth or incomplete disclosure of a defect at para.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[214] Finally, to maintain her counterclaim for deceit, Ms. Shao, must establish that the plaintiff's false representation induced her to enter into the contract. In </w:t>
      </w:r>
      <w:r>
        <w:rPr>
          <w:rFonts w:ascii="arial" w:eastAsia="arial" w:hAnsi="arial" w:cs="arial"/>
          <w:i/>
          <w:color w:val="000000"/>
          <w:sz w:val="20"/>
          <w:lang w:val="en-US" w:eastAsia="en-US" w:bidi="ar-SA"/>
        </w:rPr>
        <w:t>Battrum</w:t>
      </w:r>
      <w:r>
        <w:rPr>
          <w:rFonts w:ascii="arial" w:eastAsia="arial" w:hAnsi="arial" w:cs="arial"/>
          <w:color w:val="000000"/>
          <w:sz w:val="20"/>
          <w:lang w:val="en-US" w:eastAsia="en-US" w:bidi="ar-SA"/>
        </w:rPr>
        <w:t>, Fenlon J. stated the test for this element at paras. 24 to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The test of materiality of the representation and reliance on it is a subjective one; it is not a matter of asking whether a reasonable person would have relied on the representation, but whether this plaintiff relied upon it in the circumstances of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Battrum was induced to enter into the investment in AOI by a number of factors. It is likely that the opportunity to make a large and quick profit was a greater inducement than the security afforded by the units held in trust, but the law does not require the misrepresentation to be the only or even the most significant reason for the plaintiff's action. As stated in George Spencer Bower, </w:t>
      </w:r>
      <w:r>
        <w:rPr>
          <w:rFonts w:ascii="arial" w:eastAsia="arial" w:hAnsi="arial" w:cs="arial"/>
          <w:i/>
          <w:color w:val="000000"/>
          <w:sz w:val="20"/>
          <w:lang w:val="en-US" w:eastAsia="en-US" w:bidi="ar-SA"/>
        </w:rPr>
        <w:t>The Law of Actionable Misrepresentation</w:t>
      </w:r>
      <w:r>
        <w:rPr>
          <w:rFonts w:ascii="arial" w:eastAsia="arial" w:hAnsi="arial" w:cs="arial"/>
          <w:color w:val="000000"/>
          <w:sz w:val="20"/>
          <w:lang w:val="en-US" w:eastAsia="en-US" w:bidi="ar-SA"/>
        </w:rPr>
        <w:t>, 3d ed. (London: Butterworths, 1974) at 139: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120 It is sufficient to prove that the representation was an inducing cause. It is not necessary to establish that it was the inducing cause. Whether, if a full disclosure of the truth had been made, the representee would or would not have altered his position in the manner in which he did, is a question to which the law does not require an answer. It is enough if a full and exact revelation of the material facts might have prevented him from doing so -- if it would have "given him pause". [Emphasis in original; footnote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Sidhu Estate v. Bains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[1996] 10 W.W.R. 590</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25 B.C.L.R. (3d) 41</w:t>
        </w:r>
      </w:hyperlink>
      <w:r>
        <w:rPr>
          <w:rFonts w:ascii="arial" w:eastAsia="arial" w:hAnsi="arial" w:cs="arial"/>
          <w:color w:val="000000"/>
          <w:sz w:val="20"/>
          <w:lang w:val="en-US" w:eastAsia="en-US" w:bidi="ar-SA"/>
        </w:rPr>
        <w:t xml:space="preserve"> (C.A.), Finch J.A. (as he then was) stated the following at para. 36 (cited to W.W.R.):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therefore sufficient in my view to found liability in deceit if the fraudulent representation is a material inducement upon which the representee relied, even if that representation is only one of several factors contributing to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the fact that, in response to a general inquiry as to why the vendor was selling her home, the vendor did not disclose the violent death of her son-in-law near the front of the property, was found to be an actionable fraudulent misrepresentation. As to the issue of whether the purchaser was induced into the contract in reliance of this false representation, the court found that the factors that induced the purchaser included the location, size, beauty and price of the property, but that she also relied on the vendor's representation regarding her reason for selling. This was sufficient to make out the purchaser's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the present case, it is clear the defendant was induced to enter the contract based on what he understood to be the investment potential of the purchase of the plaintiff's business. Here Moe Momen's evidence was that he was very focused on so-called cap rates. This does not preclude a finding of fraudulent misrepresentation. The specific question I must decide is whether, had the defendant had a fuller understanding of the issues with the roof, as they were known to the plaintiff, the defendant might have backed away from the transaction prior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am satisfied on the whole of the evidence that he was aware that there was an issue with the roof, not only from there being some reference to it by Larry Wade at the September meeting but also from the fact that it was referenced in the appraisal report and in the estoppel certificate. Further, Moe Momen, despite having preserved for himself and the defendant the opportunities to do so, did not conduct further examinations or inspections of the property. In addition, his own evidence was that he was convinced to proceed on the basis of the business opportunity that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do conclude however that a full disclosure of the email communications, which revealed the uncertainty about the remedy for the roof leaks, might have "given him pause" and therefore the fraudulent misrepresentation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will proceed to comment on the defendant's claim for rescission or damages based on this finding. I will note that counsels' submissions were largely silent on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are challenges in advancing the claim for rescission or damages in relation 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relation to its claim for rescission, the B.C. Court of Appeal in </w:t>
      </w:r>
      <w:r>
        <w:rPr>
          <w:rFonts w:ascii="arial" w:eastAsia="arial" w:hAnsi="arial" w:cs="arial"/>
          <w:i/>
          <w:color w:val="000000"/>
          <w:sz w:val="20"/>
          <w:lang w:val="en-US" w:eastAsia="en-US" w:bidi="ar-SA"/>
        </w:rPr>
        <w:t>Zhang v. Tsai</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2017 BCCA 371</w:t>
        </w:r>
      </w:hyperlink>
      <w:r>
        <w:rPr>
          <w:rFonts w:ascii="arial" w:eastAsia="arial" w:hAnsi="arial" w:cs="arial"/>
          <w:color w:val="000000"/>
          <w:sz w:val="20"/>
          <w:lang w:val="en-US" w:eastAsia="en-US" w:bidi="ar-SA"/>
        </w:rPr>
        <w:t>, noted the following about the remedy of rescission in cases of misrepresentation and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Madam Justice McLachlin (as she then was)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referred to the requirements the plaintiff must meet to receive rescission. Those requirements were described thus: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positive misrepresentation must have been made by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owes a fiduciary duty to the plaintiff, as it may be contended Chmilar did to the plaintiffs in this case, failure to disclose material facts may suffice . . .</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of an existing fact . . .</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made with the intention that the plaintiff should act on it . . .</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induced the plaintiff to enter into the contract . . .</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acted promptly after learning of the misrepresentation to disaffirm the contract . . .</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innocent third parties must have acquired rights for value with respect to the contract property . . .</w:t>
      </w:r>
    </w:p>
    <w:p>
      <w:pPr>
        <w:numPr>
          <w:numId w:val="9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possible to restore the parties substantially to their pre-contract position . . .</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executed contract for the sale of an interest in land will not be rescinded unless fraud is shown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Applying those criteria reveals the difficulties facing the defence with respect to rescinding the agreement(s). My observations connected to the itemized list above are as follows:</w:t>
      </w:r>
      <w:r>
        <w:rPr>
          <w:rFonts w:ascii="arial" w:eastAsia="arial" w:hAnsi="arial" w:cs="arial"/>
          <w:sz w:val="20"/>
          <w:lang w:val="en-US" w:eastAsia="en-US" w:bidi="ar-SA"/>
        </w:rPr>
        <w:cr/>
      </w:r>
    </w:p>
    <w:p>
      <w:pPr>
        <w:numPr>
          <w:numId w:val="9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made no positive misrepresentations about the condition of the roof. There is no suggestion here of a fiduciary duty;</w:t>
      </w:r>
    </w:p>
    <w:p>
      <w:pPr>
        <w:numPr>
          <w:numId w:val="9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act promptly after learning of the misrepresentation to disaffirm the contract. Here, the defendant did not take any steps in this regard until the amended counterclaim was filed on the eve of trial. The communications from Moe Momen to Paul Wade immediately after closing were a simple request to discuss the roof. The Termination Letter regarding the Consulting Agreement made no reference to the broader Transaction Agreement; and</w:t>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assess whether restoring the parties substantially to their pre-contract position is achievable. There was no evidence or argument presented that would allow me to make any determination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Without reviewing the other criteria, I would conclude that these criteria have not been satisfied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Law of Vendor and Purchaser</w:t>
      </w:r>
      <w:r>
        <w:rPr>
          <w:rFonts w:ascii="arial" w:eastAsia="arial" w:hAnsi="arial" w:cs="arial"/>
          <w:color w:val="000000"/>
          <w:sz w:val="20"/>
          <w:lang w:val="en-US" w:eastAsia="en-US" w:bidi="ar-SA"/>
        </w:rPr>
        <w:t>, at p. 7-4.3, Mr. Di Castri suggests that the analysis must consider whether, within a reasonable time after the discovery of the falsity of the representation, the plaintiff elected to avoid the contract and accordingly repudiated.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On May 5, 2015, four days after completion, Moe Momen authored an email indicating he wanted to examine the issue with the roof further. So, at the very least, he was aware of the issue at that time. The only action taken in respect of any agreements associated with the transaction was sending the Termination Letter in respect of the Consulting Agreement, which as noted earlier, made no reference to any alleged misrepresentations or issues with the roof. After the plaintiff's notice of civil claim was filed, a response and counterclaim were filed seeking damages only. It was not until the amended response to civil claim and counterclaim were filed on the eve of trial that rescission was advanced as a claim for relief. The defendant did not act to disaffirm the contract until over two and a half years following its discovery of the condition of roof. For that reason, the defendant cannot succeed in obtaining the remedy of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defence argument for damages in respect of the roof is as follows:</w:t>
      </w:r>
      <w:r>
        <w:rPr>
          <w:rFonts w:ascii="arial" w:eastAsia="arial" w:hAnsi="arial" w:cs="arial"/>
          <w:sz w:val="20"/>
          <w:lang w:val="en-US" w:eastAsia="en-US" w:bidi="ar-SA"/>
        </w:rPr>
        <w:cr/>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Defendant seeks damages representing the difference between the appraisal value based on the income approach of $3,775,000 and the amount paid for the Property.</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both cases the Defendant would seek these amounts after deducting the $500,000 for the commission from the purchase price, which was used to purchase the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Damages for the Roof</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paid Taj Roofing $23,625.00 to try and fix the Roof. That amount should clearly be recoverable.</w:t>
      </w:r>
    </w:p>
    <w:p>
      <w:pPr>
        <w:numPr>
          <w:numId w:val="10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further says that in the circumstances of this case, the Defendant would act reasonably if it proceeded to replace the Roof and is thereby entitled to have damages for the replacement of the 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0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Combined, the Plaintiff and Defendant have spent over 4 years trying to find ways to remediate the Roof. Neither was able to find someone or some way to fix the Roof.</w:t>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the Defendant submits it is reasonable for the Defendant to have the Roof replaced.</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bought new buildings with new roofs.</w:t>
      </w:r>
    </w:p>
    <w:p>
      <w:pPr>
        <w:numPr>
          <w:numId w:val="10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they replaced the Roof before the trial, then it could not be said they failed to mitigate as the Plaintiff (wrongdoer) has provided no evidence of any other method to remediate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plaintiff's reply submissions are compelling and stress the deficiencies in the evidence to support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 did not offer any admissible evidence as to the costs to repair the roof. There is no expert evidence providing an assessment or diagnosis of the roof leaks or the options for repair or costs associated with those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defendant offered no evidence as to the diminution of the property's value between the price it paid for the property and its current market value; and how, if any, the retail building roof issue has negatively impacted the property's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As to the proposed recovery of the $23,625 arising from repair work performed by Taj Roofing Ltd. in May 2016, there was no evidence from Moe Momen of what was actually done and whether it was a reasonable effort to address the leaking. There was no evidence from Taj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plaintiff referenced the decision of the British Columbia Court of Appeal in </w:t>
      </w:r>
      <w:r>
        <w:rPr>
          <w:rFonts w:ascii="arial" w:eastAsia="arial" w:hAnsi="arial" w:cs="arial"/>
          <w:i/>
          <w:color w:val="000000"/>
          <w:sz w:val="20"/>
          <w:lang w:val="en-US" w:eastAsia="en-US" w:bidi="ar-SA"/>
        </w:rPr>
        <w:t>Vancouver Canucks Limited Partnership v. Canon Canada Inc.</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2015 BCCA 144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 . . A party claiming a loss bears the onus of proving that a loss has occurred and the value of that loss. Where there is evidence available to prove its loss, it is incumbent on the plaintiff to lead it. If it fails to do so, leaving no basis for assessment, the court may, as in </w:t>
      </w:r>
      <w:r>
        <w:rPr>
          <w:rFonts w:ascii="arial" w:eastAsia="arial" w:hAnsi="arial" w:cs="arial"/>
          <w:i/>
          <w:color w:val="000000"/>
          <w:sz w:val="20"/>
          <w:lang w:val="en-US" w:eastAsia="en-US" w:bidi="ar-SA"/>
        </w:rPr>
        <w:t>Williams v. Stephenson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(1903), 33 S.C.R. 323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Cotter v. General Petroleums Ltd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[1951] S.C.R. 154</w:t>
        </w:r>
      </w:hyperlink>
      <w:r>
        <w:rPr>
          <w:rFonts w:ascii="arial" w:eastAsia="arial" w:hAnsi="arial" w:cs="arial"/>
          <w:color w:val="000000"/>
          <w:sz w:val="20"/>
          <w:lang w:val="en-US" w:eastAsia="en-US" w:bidi="ar-SA"/>
        </w:rPr>
        <w:t>, decline to make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Reference was also made to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2004 SCC 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Wood v. Grand Valley Railway</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(1915), 51 S.C.R. 283</w:t>
        </w:r>
      </w:hyperlink>
      <w:r>
        <w:rPr>
          <w:rFonts w:ascii="arial" w:eastAsia="arial" w:hAnsi="arial" w:cs="arial"/>
          <w:color w:val="000000"/>
          <w:sz w:val="20"/>
          <w:lang w:val="en-US" w:eastAsia="en-US" w:bidi="ar-SA"/>
        </w:rPr>
        <w:t xml:space="preserve"> (S.C.C), to support the assertion that the circumstances here require a much more meaningful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agree with the arguments advanced by the plaintiff that a measure of damages with respect to the condition of the roof have not been proved. While it is clear there is an issue with the roof, no evidence has been tendered as to what is required to repair the problem or specifically what the problem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only argument advanced by the defendant is that due to the leaking issue, the roof must be entirely replaced. I reject this proposition unequivocally. There is simply no evidentiary basis to support a finding that the roof must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With respect to the defendant's claim for expenses already incurred with respect to the roof, the defendant provided the court with insufficient evidence about the work that was actually conducted. I have no basis for assessing the reasonableness of these expenses and whether they actually flow from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must now consider the merits of the plaintiff's claim that by purporting to terminate the Consulting Agreement, a fixed-term contract with no termination provisions, the defendant repudiated it, entitling the plaintiff to damages. If it is entitled to succeed, those damages are the equivalent of full payment under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defendant argues it was entitled to terminate the Consulting Agreement because the plaintiff repudiated the Consulting Agreement by its conduct and/or failed to fulfill its obligations under the Consulting Agreement, and, in the alternative, the Consulting Agreement made up one part of the larger transaction, such that the plaintiff's breach of the Transaction Agreement entitled the defendant to rescind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will first consider whether the plaintiff breached the Consulting Agreement, therein entitling the defendant to resile from its payment obligations under the agreement. Article 1 of the Consulting Agreement sets out what the plaintiff as consultant is obligated to do. In my view, the critical portions of the "engagement" are set out above in the Background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On the evidence before me, there is no basis to conclude that any of the specifically delineated tasks in Schedule "A" were assigned to the plaintiff by the defendant pursuant to article 1.1. The suggestion by the defendant that the plaintiff was obligated to embark on a marketing plan is, in my view, entirely without merit. This is particularly so in light of article 1.5, which constrains the plaintiff in terms of the conduct that it can carry out. Further, as already noted, there is no evidence of the defendant requesting that the plaintiff make such a marketing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noted earlier in my discussion of Moe Momen's credibility, there were a number of issues connected with the transition of the operation of the business from the plaintiff to the defendant, such as changing accounts for telephone numbers. It is not at all clear that these are matters that would properly fall under the scope of the Consulting Agreement. In fact, when pressed in cross-examination, Moe Momen acknowledged that many of the matters did not fall within the scope of the Consulting Agreement, but rather were simply part of the transaction and within the ordinary course of the completion of the Transaction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am satisfied on all of the evidence that those tasks were undertaken and acted upon appropriately by the plaintiff. That is not to say that the process necessarily went entirely smoothly. I note, for example, that there were some delays in having telephone accounts transferred, but I am satisfied on the evidence that the delay was at least contributed to by third parties and that the plaintiff's actions were reasonable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There is no evidence before me that in respect of those tasks that there was any particular need for Paul Wade's involvement and, as I have already noted, I am not satisfied that there were tasks which the plaintiff was obligated to perform under the Consulting Agreement, unless specifically assigned. On that subject, it is apparent that the intention of the parties was that Paul Wade be involved in any marketing activities as outlined in Schedule "A" of the Consulting Agreement because he was located in Fort St. John.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As such, I find that the defendant has not established that the plaintiff breached the Consulting Agreement. I must then consider whether the defendant was otherwise entitled to "terminate" the Consulting Agreement or whether it has established any reason to not make payment, as required by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Article 2 sets out that the term on the agreement is one year. Article 3.1 sets out that the defendant must pay the plaintiff a fee of $200,000 plus applicable GST under the Consulting Agreement. The plaintiff correctly points to the fact that the Consulting Agreement contains no termination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noted, when the defendant purported to terminate the Consulting Agreement, its solicitors sent a letter stating that its basis for doing so was because it did not anticipate requiring those services until the units were at least 90%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do not accept the defendant's evidence that its termination was in fact the defendant accepting the plaintiff's breach of the Transaction Agreement as repudiating the Consulting Agreement. The defendant instructed its solicitors to write the Termination Letter. The suggestion by Moe Momen that that letter was not in accordance with the defendant's instructions to its solicitor lacks credibility. No steps were taken subsequent to the letter being sent to correct or alter it. It makes no logical sense that those solicitors would simply fabricate a justification for termination of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am satisfied that the letter accurately sets out the basis upon which the defendant sought to terminate the contract and it is my conclusion that that letter does not provide a proper legal basis for that purported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Last I will address whether the plaintiff's misrepresentation regarding the roof entitles the defendant to avoid its obligations under the Consulting Agreement. In my view it does not. Given my conclusions as to the actual reasons for termination the defendant's termination of the Consulting Agreement constitutes a breach of the agreement, entitling the plaintiff to full compensation under the remainder of the Consulting Agreement. Further, the assertion that the defendant was entitled to rescission of the Transaction Agreement was not made until March 2018, almost 3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As discussed above in my reasons as to why rescission of the Transaction Agreement is not available, for similar reasons I find that the Consulting Agreement, notwithstanding the alleged fraud, remains valid. As affirmed by the Supreme Court of Canada in </w:t>
      </w:r>
      <w:r>
        <w:rPr>
          <w:rFonts w:ascii="arial" w:eastAsia="arial" w:hAnsi="arial" w:cs="arial"/>
          <w:i/>
          <w:color w:val="000000"/>
          <w:sz w:val="20"/>
          <w:lang w:val="en-US" w:eastAsia="en-US" w:bidi="ar-SA"/>
        </w:rPr>
        <w:t>Bank of Montreal v. i Trade Finance Inc.</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2011 SCC 26</w:t>
        </w:r>
      </w:hyperlink>
      <w:r>
        <w:rPr>
          <w:rFonts w:ascii="arial" w:eastAsia="arial" w:hAnsi="arial" w:cs="arial"/>
          <w:color w:val="000000"/>
          <w:sz w:val="20"/>
          <w:lang w:val="en-US" w:eastAsia="en-US" w:bidi="ar-SA"/>
        </w:rPr>
        <w:t>,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Fraud makes an agreement voidable, not void . . . This long-standing proposition is exemplified by </w:t>
      </w:r>
      <w:r>
        <w:rPr>
          <w:rFonts w:ascii="arial" w:eastAsia="arial" w:hAnsi="arial" w:cs="arial"/>
          <w:i/>
          <w:color w:val="000000"/>
          <w:sz w:val="20"/>
          <w:lang w:val="en-US" w:eastAsia="en-US" w:bidi="ar-SA"/>
        </w:rPr>
        <w:t>Bawlf Grain Co. v. Ross</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(1917), 55 S.C.R. 232</w:t>
        </w:r>
      </w:hyperlink>
      <w:r>
        <w:rPr>
          <w:rFonts w:ascii="arial" w:eastAsia="arial" w:hAnsi="arial" w:cs="arial"/>
          <w:color w:val="000000"/>
          <w:sz w:val="20"/>
          <w:lang w:val="en-US" w:eastAsia="en-US" w:bidi="ar-SA"/>
        </w:rPr>
        <w:t>, in which Fitzpatrick C.J. wrote, at p.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only voidable and not void cannot be held as invalid until it has been rescinded. It is not enough to avoid the contract, that nothing is done to affirm it, it must be disaffirmed.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now well settled that a contract tainted by fraud is not void, but only voidable at the election of the party defrauded.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case law is clear that the representee must make an election upon its alleged discovery of the fraud as to whether it wishes to repudiate the contract. If not, the contract remains binding, as if it had not been tainted with fraud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defendant did express its intention not to be bound by the Consulting Agreement by sending the Termination Letter one month after the closing. However, given my conclusions as to the actual reasons for termination, I do not view the Termination Letter as an election to rescind the Consulting Agreement based on the alleged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It is my conclusion that the defendant had no justification to terminate the Consulting Agreement or avoid responsibility for payment of the fees to the plaintiff pursuant to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summary, my conclusions are: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one exception all of the defendant's claims that the plaintiff breached express warranties contained in the Transaction Agreement are dismissed. The exception relates to the emergency lighting. In respect of that claim no damages have been proven.</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proved fraudulent misrepresentation in relation to the roof. However, the claims for rescission of the Transaction Agreement and the Consulting Agreement are dismissed. Similarly the defendant's alternative claims for damages are dismissed due to insufficient evidence.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payment pursuant to the Consulting Agreement succeeds and the plaintiff is entitled to payment as provided for in the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am prepared to hear from the parties as to costs if there are issues other than this result to be considered. Absent submissions, the plaintiff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Intrawest Corp. v. No. 2002 Taurus Ventures Ltd., [2006] B.C.J. No. 365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23 - 25,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H040151 and S040935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B.C.L.R. (4th)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C.C.L.T. (3d) 223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R.P.R. (4th) 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920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401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Intrawest Corporation, petitioner, and No. 2002 Taurus Ventures Ltd. and Larry Ross Houghton, respondents (Registry No. H040151) And between No. 2002 Taurus Ventures Ltd. and Larry Ross Houghton, plaintiffs, and Intrawest Corporation and Whistler Mountain Resort Limited Partnership, defendants (Registry No. S040935)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2"/>
      <w:bookmarkEnd w:id="152"/>
      <w:r>
        <w:rPr>
          <w:rFonts w:ascii="arial" w:eastAsia="arial" w:hAnsi="arial" w:cs="arial"/>
          <w:b/>
          <w:color w:val="000000"/>
          <w:sz w:val="20"/>
          <w:lang w:val="en-US" w:eastAsia="en-US" w:bidi="ar-SA"/>
        </w:rPr>
        <w:t>Civil procedure — Judgments and orders — Summary judgments — Effect of counterclaim — To dismiss action — Application by vendor to foreclose on mortgage, for payment of unpaid balance of purchase price of property, and for dismissal of purchaser's action allowed in part.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Consensus, lack of — Misrepresentation — Inducement to enter contract — Innocence misrepresentation — Negligent misrepresentation — Remedies — Rescission — Application by vendor to foreclose on mortgage, for payment of unpaid balance of purchase price of property, and for dismissal of purchaser's action allowed in part.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Application by vendor to foreclose on mortgage, for payment of unpaid balance of purchase price of property, and for dismissal of purchaser's action allowed in part.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 Application by vendor to foreclose on mortgage, for payment of unpaid balance of purchase price of property, and for dismissal of purchaser's action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2"/>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vendor to foreclose on mortgage, for payment of unpaid balance of purchase price of property, and for dismissal of purchaser's action -- Vendor operated ski resort and planned new ski runs in area it planned to develop -- Area was located outside of current ski area boundary -- Vendor marketed vacant lots -- Vendor's marketing materials described area as ski-in ski-out hideaway and indicated access to lots from three proposed ski runs -- In 2002, purchaser agreed to purchase vacant lot for $2,850,000, three quarters of which was secured by one-year mortgage back to vendor -- Purchase agreement stated that it was entire agreement between parties and that no other terms or representations would survive closing -- Purchase agreement included disclosure statement under Real Estate Act as part of description of property -- Disclosure statement did not state that vendor would pay for ski trails to lots and did not include ski runs -- By summer of 2003, ski runs were still not completed -- Neither mortgage nor balance was paid -- Purchaser brought action for rescission or damages for misrepresentation -- Ski area boundary was changed to include the three new ski runs for 2004-2005 -- HELD: Application allowed in part -- Vendor granted foreclosure order, subject to stay pending determination of quantum of damages to purchaser -- Purchaser entitled to set off damages for negligent misrepresentation against amounts owing to vendor under mortgage -- All issues, except for quantum of damages, were suitable for disposition on Rule 18A motion -- Vendor did make representations that it would be providing the best possible ski access to purchaser's lot in a timely fashion -- Vendor's promotional material and statement left purchaser with reasonable impression that vendor would move expeditiously to build ski runs and trails -- In absence of representations, purchaser would not have purchased lot or would have purchased it at significant discount -- However, vendor did not breach contract or collateral contract -- When entire contract clause was read in combination with property description, it was clear parties intended that representations about form and character of area would be part of contact to the extent they were dealt with in disclosure statement -- However, vendor did not agree to be contractually bound to pay for trails to individual lots or to build ski runs within specific time frame -- Representations did not give rise to a right of rescission -- The vendor had no intention to deceive purchaser, and purchaser was not deprived of substance of transaction -- Purchaser failed to act promptly to set aside contract -- Rescission for non-fraudulent misrepresentation was not available after conveyance of the lot -- Purchaser was entitled to damages for negligent misrepresentation -- Vendor owed purchaser a duty of care and made a negligent misrepresentation -- Entire contract clause did not negate vendor's liability since representations were not part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4" w:name="Legislation Cited_17"/>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638"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5" w:name="Counsel_22"/>
      <w:bookmarkEnd w:id="1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applicants Intrawest Corporation and Whistler Mountain Resort Limited Partnership: R. Sewell, Q.C. and T. Galbraith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2002 Taurus Ventures Ltd. and Larry Ross Mr. Houghton : L.C. Donaldson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22"/>
      <w:bookmarkEnd w:id="156"/>
      <w:r>
        <w:pict>
          <v:line id="_x0000_s1143"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N. SMITH J."/>
            <w:bookmarkEnd w:id="157"/>
            <w:r>
              <w:rPr>
                <w:rFonts w:ascii="arial" w:eastAsia="arial" w:hAnsi="arial" w:cs="arial"/>
                <w:b/>
                <w:color w:val="000000"/>
                <w:sz w:val="30"/>
                <w:lang w:val="en-US" w:eastAsia="en-US" w:bidi="ar-SA"/>
              </w:rPr>
              <w:t>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2002, Larry Houghton agreed to pay $2.85 million for a vacant lot on the slopes of Whistler Mountain. Three quarters of the purchase price was secured by a mortgage back to the vendor, Intrawest Corporation. That balance remains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Intrawest has filed a petition for foreclosure, while Mr. Houghton has started an action for rescission of the contract or, alternatively, offsetting damages based on alleged misrepresentations by Intrawest. On this application, Intrawest seeks a foreclosure order, judgment against Mr. Houghton for the unpaid balance plus accrued interest, and an order pursuant to Rule 18A dismissing Mr. Houghton's misrepresentation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lot in question is a bare land strata lot in a development called Kadenwood, located on the west side of Whistler Mountain. Intrawest owns and operates the ski facilities on the mountain and was planning new ski runs in the same area. The Kadenwood lots were actually sold by Whistler Mountain Resort Limited Partnership, a limited partnership of which Intrawest was the general partner. For the purpose of this application, nothing turns on the difference between these entities and I will refer to Intrawest as the vendor, as did counsel during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Intrawest sales brochure described Kadenwood as a "majestic ski-in ski-out hideaway." The opening words of the brochure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time families have endeavored to establish as lasting legacy. A foundation upon which ancestry could be remembered and history recorded. It differed from culture to culture and was expressed through various means-perhaps a tartan pattern, a family crest or even a totem pole. Whatever the symbol, it stood as a representation of the family, its stories and adventures, its kinship, prestige, accomplishments and its dignity. A property at Kadenwood stands for all this and more. It is a lasting legacy to the accomplishments of its owner and a bond with generations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If that made a house at Kadenwood sound like a baronial castle, it also gave an accurate indication of the expected price range. Mr. Houghton's lot is zoned for a 7,500 square foot house. Based on his estimate of construction costs for "world class" Whistler properties, total land and building costs for this property would likely be between $9 million and $13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Houghton says that in order to have that value, the property would have to be "ski-in, ski-out," meaning that its owner could ski directly from the doorstep to a ski lift and from the ski runs on the mountain back to the doorstep, all on terrain that could be easily managed by most skiers. He says he relied on Intrawest's representations that it would move quickly to provide that kind of access, but that Intrawest failed to do so. Intrawest says the terms of the contract exclude reliance on any such representation, and that it has, in any event, done all that it promised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Intrawest began marketing Kadenwood lots in the fall of 2001. At that time, development was at a very early stage. The site was heavily treed and the access road had not yet been built. Intrawest had previously cleared the new ski runs leading to and past the Kadenwood site, but they were still outside the ski area boundary. It was possible for expert skiers to use them, but they would do so at their own risk because the runs were neither groomed nor patrolled by mountain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phase of the Kadenwood development was to consist of 19 lots, with another 41 to follow in later phases. The lot Mr. Houghton ultimately bought was designated as lot 13 in phase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Intrawest produced a site map of Kadenwood and built a model of the site plan, both of which were shown to Mr. Houghton as part of its marketing materials. The map showed ski access to Kadenwood from three proposed ski runs, to be called Peak to Creek, Home Run, and Big Timber. The map and model indicated that it would be possible to ski off any of these three runs to a short ski trail, then along that trail across other lots to the edge of lot 13. For clarity, whenever the phrase "ski run", is used in these reasons, it refers to a designated ski route that is part of the general operation on Whistler Mountain. "Ski trail" refers to a route within the Kadenwood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Intrawest also produced a disclosure statement for the Kadenwood subdivision pursuant to the Real Estate Act </w:t>
      </w:r>
      <w:hyperlink r:id="rId638"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since repealed. Site plans that were part of that document show the same trail extending to and across lot 13. However, the site plans refer to this trail only as a "ski trail easement." A list of encumbrances refers to "an easement for ski trail purposes over lots 11 to 16 for the benefit of the owners of lots 10 to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Houghton says he visited the site in October 2001 and again in January 2002 with Mike Cole, the Intrawest development manager for Kadenwood. He says Mr. Cole told him that Intrawest would be building ski trails in the subdivision to provide access to and from the ski runs and that there would be a trail running through lot 13. Mr. Houghton also discussed the development with the real estate agents with whom Intrawest had listed the property. They told him that Kadenwood would be at "the highest end of luxury market for ski destination properties," that lot 13 was the premier lot in Kadenwood and that it would be "front row" to the Peak to Creek ski run. This evidence is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Paul Woodward, vice-president of Intrawest, says in discovery evidence that when Intrawest listed the 19 phase 1 lots for sale, lot 13 had either the highest or second highest listing price. It was one of two lots that were considered to have the best ski-in, ski-out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25, 2002, a company controlled by Mr. Houghton's brother entered into a contract of purchase and sale for lot 13. The purchase price was $2,850,000, which Mr. Houghton says was the highest price ever paid at that time for a single family residential lot in Whistler. The closing date was set for June 2002. An addendum to the contract dated February 16, 2002, provided that the vendor would take back a mortgage to secure 75 per cent of the purchase price. That deferred balance was to be paid one year after the completion date, or earlier if the purchaser re-sold the lot or registered security for any construction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closing, the purchaser's interest in the contract was assigned to the respondent, No. 2002 Taurus Ventures, a company owned by Mr. Houghton. As contemplated, Mr. Houghton and his company signed a mortgage in the principal amount of $2,137,500 with interest at 6.95% per annum. Mr. Houghton provided a personal covenant to pay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contract of purchase and sale that was signed in January 2002 contained the following term:</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 This Contract is the entire agreement between the parties and there are no other terms, conditions, representations, warranties or collateral agreements, express or implied, whether made by the Vendor, any agent, employee or representative of the Vendor or any other person. All of the terms, conditions, representations, and warranties contained in this Contract will survive closing and the transfer of the Property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Mr. Houghton's company took the assignment of the contract of purchase and sale, the assignment agreement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copy of the Purchase Contract attached as Schedule "A" constitutes the entire agreement between the Vendor and the Assignor with respect to the property described therein and has not been modified or amended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Houghton says that he has been "an active player" in the Whistler real estate market for many years and had numerous prior dealings with Intrawest. He bought the lot with the intention of re-selling the property at a profit, either as a vacant lot or after building a house. In October of 2002, he listed the lot for sale at $3.4 million, but received no offers. At about the same time, he says Intrawest listed lots in phase 2 of Kadenwood for sale at significantly higher prices than it had received for the phase 1 lots, but sales results were "dismal".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Houghton admits that the Whistler real estate market softened in 2003, but says Kadenwood was also hampered by its failure to live up to its advance billing as Whistler's most exclusive subdivision. He says that when he bought the lot he had expected Intrawest to "proceed expeditiously to complete the infrastructure promised in its sales materials." But, he says by the summer of 2003, Kadenwood had an unfinished feel, with the ski runs not completed and a road that did not meet expected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2003, Intrawest demanded full payment of the mortgage. Mr. Houghton asked for more time. The parties agreed to a modification under which accrued interest of $148,556.26 would be paid on July 28, 2003 and the balance of the Mortgage would be paid on September 22, 2003. Neither payment was made on the scheduled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2003, Mr. Houghton retained a development consultant to report on the status of the infrastructure development. This report confirmed that the new ski runs leading to Kadenwood were not within the Whistler ski area boundary, although they were within an area into which Whistler was allowed to expand its operations. Mr. Houghton says that was the first time he learned that the runs were not within the ski area boundary. I cannot accept that evidence. Mr. Houghton did not need a development consultant to tell him the runs were not within the ski area boundary. The free map that Intrawest distributed to skiers clearly showed where the boundary was and what runs were within it. Given the familiarity Mr. Houghton says he had with Whistler, it is inconceivable that he would be unaware of the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17, 2003, a second modification agreement was signed. Mr. Houghton agreed to pay accrued interest in the amount of $105,678.77 on January 22, 2004, make monthly interest payments of $15,140.63 on February 22, 2004 and March 22, 2004, and pay the principal amount of the Mortgage on April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Instead of making those payments, Mr. Houghton started his action seeking rescission of the contract of purchase and sale in February 2004, while Intrawest filed its petition for foreclosure at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John Morley, development manager for Intrawest, states in his affidavit that Intrawest always intended to bring the new runs into the ski boundaries, but the timing was linked in part to lots being built on and occupied. In the summer of 2004, after this litigation began, Intrawest "summer groomed" the Peak to Creek run. Summer grooming allows the run to be serviced by snow-grooming machines during the ski season, which in turn allows it to be designated as a "blue" or intermediate level run. Documents produced in this litigation indicate that Intrawest had budgeted to do the summer grooming work and purchase the required winter snow grooming equipment in 2003, but deferred those expenditures for one year. The other two runs leading to Kadenwood have not been summer-groomed because they were always intended to be "black" or expert runs, but the ski area boundary was changed to include all three runs for the 2004-2005 ski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therefore now possible, when snow conditions on the lower mountain permit, to ski directly to Kadenwood on an intermediate run. There is still no trail leading from that run to Mr. Houghton's lot, but Intrawest says it never intended to build trails that only provide access to individual lots. Mr. Morley says that trail easements were registered against the title to a number of lots so that owners of adjacent lots could build trails to access the ski 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Intrawest has obtained an opinion that a trail along the easement to Mr. Houghton's lot could be built for approximately $30,000. The experts retained by Mr. Houghton say the trail would cost $120,000 to build and Mr. Houghton asserts that if he was to incur that expense he would be paying twice for the same amenity.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Houghton says that, if he had been told in January 2002 that Intrawest would not be proceeding for a period of years to open and patrol the ski runs shown on the promotional material or that Intrawest would not be building the ski trail directly to Lot 13, he would not have bought the lot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of proceeding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common ground that the mortgage is in default. The only defence to Intrawest's foreclosure petition arises out of the misrepresentations alleged by Mr. Houghton in his action. Intrawest seeks dismissal of that action under Rule 18A. By seeking judgment under Rule 18A, Intrawest assumes the risk of the opposite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outset of the hearing of this application, counsel for Mr. Houghton argued pursuant to Rule 18A(8), that the matter was not suitable for summary disposition. I ruled that I could not determine that issue without hearing the entire application. By the end of the application, counsel for Mr. Houghton invited me to make findings of fact in favour of her client, which I took to mean that she was no longer objecting to the matter being decided on a summary trial. However, in case I have misunderstood counsel's position, I will make clear my reasons for holding that all but one of the issues to be decided in this case are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issues to be decided in this case are: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Intrawest make representations, on which Mr. Houghton reasonably relied, that were not true?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representations form part of the contract or a collateral warranty?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were they representations inducing the contract giving rise to a right of rescission?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representations do not give rise to a right of rescission, do they entitle Mr. Houghton to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amount of any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Houghton alleges misrepresentations in written material provided by Intrawest and in statements made by Intrawest representatives, primarily Mr. Cole. The written material is before the court, as are the relevant contractual documents. Further, there is no affidavit from Mr. Cole disputing Mr. Houghton's evidence of their conversations. Counsel for Intrawest has advised that Mr. Cole is no longer employed by Intrawest and has no specific recollection of these conversations. This is therefore not a case where serious factual disputes or credibility issues make disposition under Rule 18A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I find there were misrepresentations, the consequences that flow from them, if any, are primarily questions of law and as such are most appropriate for summary trial. If Intrawest succeeds in showing there were no misrepresentations, or none that are actionable, it will be entitled to everything it seeks in its foreclosure petition. Similarly, if Mr. Houghton succeeds in showing a right to rescission, that will be a complete and final disposition of the issues between the parties. The only issue that cannot be decided on this application, because neither party led evidence on it, is the quantum of damages. That issue will only arise if find there were actionable misrepresentations, but not of a kind that give rise to rescission. However, even in that circumstance, I am satisfied that it would be appropriate to at least resolve the liability issues under Rule 18A, with damages the subject of either a greatly shortened trial or a subsequent application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read the affidavit material and the Intrawest promotional material, (which I have already summarized), I have no difficulty finding that the information provided to Mr. Houghton by Intrawest created the impression that Intrawest would be providing the best possible ski access to Mr. Houghton's lot in a timely fashion. None of the promotional material or the statements made to Mr. Houghton by Intrawest representatives created any distinction between the ski runs on the Mountain, which were clearly Intrawest's responsibility, and the smaller trails connecting those runs to the various lots within Kadenwood, such that Mr. Hougnton should have doubted that Intrawest would provide ski access directly to his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Intrawest relies on the following portion of the disclosure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Construction by purchasers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of the lots are responsible to review the bylaws, rules, regulations and other requirements of the Municipality and other applicable authority with respect to the requirements for the approval of any other applicable authority with respect to the requirements for the approval of any construction proposed by the purchasers on the lots, and the developer will be under no obligation to the purchasers in connection therewith. However, the developer wishes to bring the following matters to the attention of the prospective purchasers of the lots: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points listed include: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dimensions of the lots;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locations of the three preservation areas;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locations of the proposed easements and rights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will construct the driveways on certain lots,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list of lots other than lot 13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Intrawest argues that clause 6.5 of the disclosure statement sets out the extent to which it would be making improvements to individual lots and the fact that it does not mention the ski trails, except as easements, makes clear that they are the responsibility of the purchasers. I do not agree. The purpose of the clause is to make clear that it is up to the purchaser to design and build his or her own house in accordance with applicable regulations. The reference to the trail easements, in the context of that paragraph, simply draws the purchaser's attention to a specific portion of the lot on which no part of the building can be located. A reasonable reader could not interpret that paragraph as saying anything about who was to bear the cost of building the trails.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also satisfied that Intrawest's promotional material and other statements left Mr. Houghton with the reasonable impression that Intrawest would be moving expeditiously to build the ski runs and trails. While no date was specified in any of the material, Intrawest was selling all the lots in phase one at the same time to purportedly create what was expected to be a luxury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vendor take-back mortgage was to be for a term of only one year, with earlier repayment if the purchaser either re-sold the lot or obtained construction financing. That is consistent with the expectation that buyers would either build, or re-sell to someone else who would build, within that one year period. If Intrawest was expecting buyers to hold these very expensive properties as vacant lots for an extended time, the one year mortgage serves no commercial purpose. Intrawest would either have provided longer-term financing or required buyers to obtain their own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Intrawest has also produced a document dated June 22, 2001, that outlined its internal marketing and development discussions. In addition to emphasizing ski-in, ski-out access as the first of its key marketing issues, the document shows a concern for making Kadenwood attractive to "spec" builders. Intrawest clearly expected purchasers to proceed quickly with the development of their lots. In the circumstances, it would be reasonable for purchasers to assume that Intrawest would provide the associated amenities within approximately the same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therefore conclude that Intrawest made the representations that Mr. Houghton alleges, namely that it would provide ski-in, ski-out access to lot 13 within a reasonable amount of time. I also find that, in the absence of those representations, Mr. Houghton either would not have purchased the lot, or at least would not have purchased it without a significant discount in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representations made by Intrawest part of the contract or a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circumstances where a contractual remedy will be available in a sale of land where a conveyance has already taken place were set out by the Supreme Court of Canada in Redican v. Nesbitt, </w:t>
      </w:r>
      <w:hyperlink r:id="rId639"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[1924] 1 D.L.R. 536</w:t>
        </w:r>
      </w:hyperlink>
      <w:r>
        <w:rPr>
          <w:rFonts w:ascii="arial" w:eastAsia="arial" w:hAnsi="arial" w:cs="arial"/>
          <w:color w:val="000000"/>
          <w:sz w:val="20"/>
          <w:lang w:val="en-US" w:eastAsia="en-US" w:bidi="ar-SA"/>
        </w:rPr>
        <w:t xml:space="preserve"> at 146-147. After the closing of a transaction, relief can only be obtained in the case of:</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mutual mistake resulting in a total failure of consideration or a deficiency in the land conveyed amounting to error in substantialibus;</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contractual condition; or</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warranty collateral to the contract which survives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same case also makes clear at 145 that the same principle applies whether title is passed on full payment of the purchase price, whether there is a covenant for future payment, or whether the purchase price has been secured by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same principles have been more recently stated by the Ontario Court of Appeal in Di Cenzo Construction Co. Ltd. v. Glassico et al. </w:t>
      </w:r>
      <w:hyperlink r:id="rId640" w:history="1">
        <w:r>
          <w:rPr>
            <w:rFonts w:ascii="arial" w:eastAsia="arial" w:hAnsi="arial" w:cs="arial"/>
            <w:i/>
            <w:color w:val="0077CC"/>
            <w:sz w:val="20"/>
            <w:u w:val="single"/>
            <w:shd w:val="clear" w:color="auto" w:fill="FFFFFF"/>
            <w:lang w:val="en-US" w:eastAsia="en-US" w:bidi="ar-SA"/>
          </w:rPr>
          <w:t>(1978), 21 O.R. (2d) 186</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90 D.L.R. (3d) 127</w:t>
        </w:r>
      </w:hyperlink>
      <w:r>
        <w:rPr>
          <w:rFonts w:ascii="arial" w:eastAsia="arial" w:hAnsi="arial" w:cs="arial"/>
          <w:color w:val="000000"/>
          <w:sz w:val="20"/>
          <w:lang w:val="en-US" w:eastAsia="en-US" w:bidi="ar-SA"/>
        </w:rPr>
        <w:t xml:space="preserve"> (Ont. C.A.) at p. 140. I will first consider whether Intrawest's representations to Mr. Houghton can be considered contractual conditions or the subject of a collateral contract, such that Mr. Houghton may have the right to a contractual remedy such as rescision.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Carman Construction v. C.P.R., </w:t>
      </w:r>
      <w:hyperlink r:id="rId641"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xml:space="preserve"> at 966,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collateral warranty is a contract collateral to the primary agreement. Its existence must be established, as in the case of any other contract, by proof of an intention to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the Court emphasized that such contracts must, by their very nature be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Carman, a contractor bidding on a construction job relied on representations from a railway employee as to the amount of excavation that would be required. In fact, much more excavation was required. The contract contained a clause that the contractor was entering into the contract based upon his own knowledge of the ground and the material to be removed and that the contractor did not rely on any information provided by the railway. The Court said there was no evidence of an intention to warrant the accuracy of the statement and that the contract term specifically excluded the existence of a collateral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MacMillan v. Kaiser Equipment Ltd. </w:t>
      </w:r>
      <w:hyperlink r:id="rId642" w:history="1">
        <w:r>
          <w:rPr>
            <w:rFonts w:ascii="arial" w:eastAsia="arial" w:hAnsi="arial" w:cs="arial"/>
            <w:i/>
            <w:color w:val="0077CC"/>
            <w:sz w:val="20"/>
            <w:u w:val="single"/>
            <w:shd w:val="clear" w:color="auto" w:fill="FFFFFF"/>
            <w:lang w:val="en-US" w:eastAsia="en-US" w:bidi="ar-SA"/>
          </w:rPr>
          <w:t>(2004), 33 B.C.L.R. (4th) 44</w:t>
        </w:r>
      </w:hyperlink>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the plaintiff alleged that he was induced to enter into two contracts on the basis of a promise that he would receive shares in a company. At paragraph 42, the Court adopted the following statement of McLachlin C.J.S.C. (as she then was) from Power Consolidated (China) Pulp Inc. v. British Columbia Resources Investment Corp., </w:t>
      </w:r>
      <w:hyperlink r:id="rId643" w:history="1">
        <w:r>
          <w:rPr>
            <w:rFonts w:ascii="arial" w:eastAsia="arial" w:hAnsi="arial" w:cs="arial"/>
            <w:i/>
            <w:color w:val="0077CC"/>
            <w:sz w:val="20"/>
            <w:u w:val="single"/>
            <w:shd w:val="clear" w:color="auto" w:fill="FFFFFF"/>
            <w:lang w:val="en-US" w:eastAsia="en-US" w:bidi="ar-SA"/>
          </w:rPr>
          <w:t>[1989] B.C.J. No. 114</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collateral contract is simple. Where one party makes a promise, in exchange for which the other party enters into a contract, the promise may be considered as a separate contract "collateral" to the main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is whether the intention of the parties in the case at bar was that the written contract together with the specified appendices would constitute the whole of the contract. That intention, as in all matters relating to contractual construction, must be determined objectively. Here the parties expressly agreed that the contract documents constituted the whole of their agreement. While in most cases such an agreement is only a presumption based on the parol evidence rule, in this case it has been made an express term of the contract. A presumption can be rebutted; an express term of contract, barring mistake or fraud, cannot. I have no alternative but to conclude that the parties intended the contract documents to be the whole of the agreement and the plaintiffs cannot rely on collateral contract against Westar.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contract in this case referred to the property being sold as a lot situated in the Kadenwood development "as more particularly defined in the disclosure statement." It contained an acknowledgment that the purchaser had received and had an opportunity to read the disclosure statement. The disclosure statement outlined the subdivision plan, the location of the various lots, road access, the structure of the strata corporation and other matters relating to the form and character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disclosure statement was provided as required by the Real Estate Act, since repealed. That legislation provided that a purchaser was deemed to have relied on any representations contained in the prospectus, extended liability for such representations to directors and officers of corporate developers and gave purchasers an extended right of rescission. Generally, its effect was to give purchasers a statutory remedy distinct from common law remedies. (Pacific International Development Corporation v. Gourmet Gallery Inc., </w:t>
      </w:r>
      <w:hyperlink r:id="rId644" w:history="1">
        <w:r>
          <w:rPr>
            <w:rFonts w:ascii="arial" w:eastAsia="arial" w:hAnsi="arial" w:cs="arial"/>
            <w:i/>
            <w:color w:val="0077CC"/>
            <w:sz w:val="20"/>
            <w:u w:val="single"/>
            <w:shd w:val="clear" w:color="auto" w:fill="FFFFFF"/>
            <w:lang w:val="en-US" w:eastAsia="en-US" w:bidi="ar-SA"/>
          </w:rPr>
          <w:t>[2000] B.C.J. No. 1056</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2000 BCSC 823</w:t>
        </w:r>
      </w:hyperlink>
      <w:r>
        <w:rPr>
          <w:rFonts w:ascii="arial" w:eastAsia="arial" w:hAnsi="arial" w:cs="arial"/>
          <w:color w:val="000000"/>
          <w:sz w:val="20"/>
          <w:lang w:val="en-US" w:eastAsia="en-US" w:bidi="ar-SA"/>
        </w:rPr>
        <w:t xml:space="preserve"> at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Cases decided under that legislation did not, as far as I have been able to determine, address the issue of whether or to what extent the disclosure statement was incorporated into the contract. In the ordinary case where a purchaser was claiming breach of specific representations contained in the disclosure statement and seeking the statutory remedy, it would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the fact that the disclosure statement is referred to in the agreement of purchase and sale as part of the description of the property being sold must be given some meaning. Intrawest was not intending to sell, and Mr. Houghton was not intending to buy, an isolated lot in the woods. The intention of the parties was that the lot would be part of a larger development that Intrawest was promising to create, as described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the entire contract clause is read in combination with the property description, the only fair reading is that the parties intended that representations as to the form and character of the Kadenwood development would only be part of the contract to the extent to which those matters were expressly dealt with in the disclosure statement. The parties clearly intended that the contract and disclosure statement would be the whole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subdivision plan attached to the disclosure statement and by extension, the contract, sets out the location of the ski trail at issue. The document says nothing about who will pay for it and there is nothing else in the document that allows the reader to infer an answer from that silence. Therefore, if the question is to be answered on a contractual basis, it could only be answered by a collateral contract, and the question would then be whether such a contract is excluded by the entire contract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have to answer that question because, even if it was possible to give effect to a collateral contract in these circumstances, there is no evidence of the necessary contractual intention. There is nothing in the evidence that would permit a finding that Intrawest intended to pay for the construction of the trail or that it intended to make such a promise. Intrawest denies ever having had that intention. From the contemporaneous evidence that is available, it is not possible to determine if anyone in a position of authority at Intrawest even turned his or her mind to this question at the time the contract was made. While the pre-contractual representations clearly left buyers with the impression that Intrawest would be providing those ski trails as part of the development's premier ski-in, ski-out feature, the evidence does not establish an intention on the part of Intrawest to make or be bound by a specific promise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question of the timing of the ski run construction is also a matter that is outside the contract. The contract and the disclosure statement dealt entirely with the form and character of the development at Kadenwood. Ski runs were shown on some of the site plans as being adjacent to Kadenwood, but they are not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might be possible for the construction of the ski runs by a certain date to be the subject of a collateral contract, the consideration for which is the entering into a contract to purchase a lot. There would then be the issue of the proper construction of the entire contract clause to determine if it was intended to address a matter this far outside the contract for purchase and sale of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Again, I do not propose to resolve that question because the evidence does not establish the necessary contractual intention. At the time the contract was signed, Intrawest intended to proceed with the completion of the ski runs leading to Kadenwood in the summer of 2003. However, I cannot find in the evidence any intention by Intrawest to be contractually bound by that timetable. The ski-runs were not being built solely for the benefit of Kadenwood purchasers. They were also being built as part of Intrawest's business as the operator of a much larger ski resort open to the general public. As such, the plans for them would be subject to the potentially changing demands, priorities and financial position of the entire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If Intrawest intended to promise the Kadenwood purchasers that it would build the new runs by a certain date, it would have been giving the project priority over any other business considerations that might arise. It may have been reasonable for purchasers to form that impression, but the issue here is contractual intention, which must be mutual. There is no evidence that Intrawest intended to make that commitment.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therefore conclude that Intrawest is not in breach of any contractual provisions or collateral contract and Mr. Houghton's claim in this regard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common ground that rescission is available in cases of fraud, error in substantialibus or, in some cases innocent (non-fraudulent)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seeking rescission on the basis of fraud, Mr. Houghton's counsel relies on the classic definition of fraud in Derry v. Peek (1889), 14 A.C. 337 (H.L.) at 374. A fraudulent misrepresentation is made if the representor made the statement (i) knowing the statement was false, (ii) without belief in the truth of the statement, or (iii) recklessly, without care as to whether it was true or false. Mr. Houghton relies on the third branch, that of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BG Checo International Limited v. British Columbia Hydro and Power Authority </w:t>
      </w:r>
      <w:hyperlink r:id="rId645" w:history="1">
        <w:r>
          <w:rPr>
            <w:rFonts w:ascii="arial" w:eastAsia="arial" w:hAnsi="arial" w:cs="arial"/>
            <w:i/>
            <w:color w:val="0077CC"/>
            <w:sz w:val="20"/>
            <w:u w:val="single"/>
            <w:shd w:val="clear" w:color="auto" w:fill="FFFFFF"/>
            <w:lang w:val="en-US" w:eastAsia="en-US" w:bidi="ar-SA"/>
          </w:rPr>
          <w:t>(1990), 44 B.C.L.R. (2d) 145</w:t>
        </w:r>
      </w:hyperlink>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[1990] 3 W.W.R. 690</w:t>
        </w:r>
      </w:hyperlink>
      <w:r>
        <w:rPr>
          <w:rFonts w:ascii="arial" w:eastAsia="arial" w:hAnsi="arial" w:cs="arial"/>
          <w:color w:val="000000"/>
          <w:sz w:val="20"/>
          <w:lang w:val="en-US" w:eastAsia="en-US" w:bidi="ar-SA"/>
        </w:rPr>
        <w:t xml:space="preserve"> (C.A.), rev'd in part on other grounds </w:t>
      </w:r>
      <w:hyperlink r:id="rId44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the Court of Appeal said it is fundamental that the plaintiff establish that the defendant had an intention to deceive. That case involved an alleged misrepresentation in tender documents.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a committee of 12 prepared the specifications. The evidence does not reveal that any members of the committee were dishonest in the preparation of the specifications for this contract. Rather, it is possible to conclude that they mistakenly and negligently believed that the requirement that a tenderer should take a view of the site would remedy any shortcomings in the specifications included in the terms of the contract. (at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Similarly, there is no evidence of deliberate dishonesty on the part of Intrawest or any of the individuals who made representations on its behalf. The promotional material and representations accurately depicted the plan that Intrawest had for Kadenwood at the time. Intrawest failed to make clear who it expected to pay for the trails within the subdivision and, as said above, it is not even clear that anyone at Intrawest had specifically turned their minds to the question. But that falls short of evidence of a deliberate intention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Intrawest made the representations, it was also intending to proceed with the completion of the ski-runs leading to Kadenwood in the summer of 2003. This may have been later than Mr. Houghton had reason to expect, but there is no evidence of any intention to deceive purchasers on this point. Intrawest was familiar with its own business and capital expenditure procedures in a way that purchasers could not be. It was foreseeable to Intrawest that business reasons might arise causing it to delay the work. That is why I have said the timing of ski-run construction could not be seen as a contractual promise. But if it failed to make clear to purchasers that circumstances might arise under which the work would be delayed, that could only amount to a negligent misrepresentation. There is no basis for a finding that it had any intention of deceiving purchasers at the time the lots were being marketed and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 stated in Redican v. Nesbitt, rescission is also available for an error in substantialibus. An example of such an error can be found in Betker v. Williams </w:t>
      </w:r>
      <w:hyperlink r:id="rId646" w:history="1">
        <w:r>
          <w:rPr>
            <w:rFonts w:ascii="arial" w:eastAsia="arial" w:hAnsi="arial" w:cs="arial"/>
            <w:i/>
            <w:color w:val="0077CC"/>
            <w:sz w:val="20"/>
            <w:u w:val="single"/>
            <w:shd w:val="clear" w:color="auto" w:fill="FFFFFF"/>
            <w:lang w:val="en-US" w:eastAsia="en-US" w:bidi="ar-SA"/>
          </w:rPr>
          <w:t>(1991), 63 B.C.L.R. (2d) 14</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86 D.L.R. (4th) 395</w:t>
        </w:r>
      </w:hyperlink>
      <w:r>
        <w:rPr>
          <w:rFonts w:ascii="arial" w:eastAsia="arial" w:hAnsi="arial" w:cs="arial"/>
          <w:color w:val="000000"/>
          <w:sz w:val="20"/>
          <w:lang w:val="en-US" w:eastAsia="en-US" w:bidi="ar-SA"/>
        </w:rPr>
        <w:t xml:space="preserve"> (C.A.). In that case, the plaintiffs purchased what they thought was a building lot. In fact, nothing could be built on the lot because there was no sewer connection and it was too small for a septic system under the applicable bylaw. The agreement contained a clause to the effect that there were no representations other than those contained in the written document. Taylor J.A. said at paragraphs 34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assume that the judge accepted the submission made for the Betkers that such an exclusion clause will not protect a vendor where the representation alleged concerns a matter of such substance as to go the purchaser's basic purpose in entering into the contract and where it has not been shown that the clause in question was actually brought to the purchaser's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argument before us, I am persuaded that the error into which the Betkers were led by Mr. Klinkhamer's misrepresentation was in substantialibus, and one in which such a printed exclusion clause, unless specifically drawn to the purchaser's attention, will provide the vendor with no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indicated that the error in substantialibus would have been grounds for rescission of the contract but for the fact the plaintiffs waited to long before bringing the action after they discovered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case is distinguishable from Betker. In that case, the purchasers acquired a property that could not be used at all for its intended purpose. In this case, Mr. Houghton was buying a building lot on a ski hill. He has such a lot and is free to build on it. The only difference is that access to the ski-runs will not be quite as easy as he thought, at least not without further work. That may go to the value of what he purchased, but not to the substance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Houghton's counsel relies on a purportedly wider definition of the phrase "error in substantialibus" than appears in Zippy Print Enterprises Ltd. v. Pawliuk </w:t>
      </w:r>
      <w:hyperlink r:id="rId647"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[1995] 3 W.W.R. 324</w:t>
        </w:r>
      </w:hyperlink>
      <w:r>
        <w:rPr>
          <w:rFonts w:ascii="arial" w:eastAsia="arial" w:hAnsi="arial" w:cs="arial"/>
          <w:color w:val="000000"/>
          <w:sz w:val="20"/>
          <w:lang w:val="en-US" w:eastAsia="en-US" w:bidi="ar-SA"/>
        </w:rPr>
        <w:t xml:space="preserve"> (B.C.C.A.). That case involved misrepresentations leading to the signing of a franchise agreement. Lambert J.A. referred to the use of the phrase in Betker and said at paragraph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phrase must be taken to mean that the misrepresentation was on a point of substance such that if it had been known that the representation was false at the time it was made then it might reasonably be supposed that the party to whom the representation was made would not have entered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definition might apply to the facts of this case, but it was stated in the context of a claim for damages. The issue was not the rescission of an executed contract and I cannot conclude that the Court of Appeal intended such a broad definition of the concept to extend to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only remaining possible basis for rescission is innocent misrepresentation. In Kingu v. Walmar Ventures Ltd. </w:t>
      </w:r>
      <w:hyperlink r:id="rId1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20-21 McLachlin J.A.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Rescission may always be obtained for fraudulent misrepresentation which induced the plaintiff to enter into the contract. But it may be obtained for innocent (non-fraudulent) misrepresentation only in cases where the plaintiff establishes the following requirements.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positive misrepresentation must have been made by the defendant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of an existing fact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made with the intention that the plaintiff should act on it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induced the plaintiff to enter into the contract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acted promptly after learning of the misrepresentation to disaffirm the contract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innocent third parties must have acquired rights for value with respect to the contract property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possible to restore the parties substantially to their pre-contract position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executed contract for the sale of an interest in land will not be rescinded unless fraud is shown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requirements (e) and (h) are fatal to any claim for rescission. Mr. Houghton says that he was concerned about the timing of the Kadenwood development by September 2003 and learned then for the first time that the runs leading to it were outside the ski area boundary. I have rejected that evidence, but even if it is assumed to be correct, it would mean that Mr. Houghton failed to act promptly after learning of the misrepresentation. He took no steps to set aside the contract until February 2004. In the interim, he negotiated modifications of the mortgage that included new promises to pay the deferred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Even if he had acted promptly in 2003, it would have been too late for Mr. Houghton to set aside the transaction because he had accepted conveyance of the lot in June 2002. The contract was executed at that point, and rescission for non-fraudulent misrepresentation was no longer available: see Redican and Kingu.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Having found no right of rescission, the remaining question is whether Mr. Houghton can obtain damages for negligent misrepresentation. The leading case on negligent misrepresentation in this country is the decision of the Supreme Court of Canada in Queen v. Cognos Inc.,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That case confirmed that a misrepresentation can be made by omission or implication as well as by express statements and that a contractual relationship between the parties does not necessarily preclude an action for negligent misrepresentation. On the latter point, the Court said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considering the effect of the subsequent contract on the representee's tort action, everything revolves around the nature of the contractual obligations assumed by the parties and the nature of the alleged negligent misrepresentation. The first and foremost question should be whether there is a specific contractual duty created by an express term of the contract which is co-extensive with the common law duty of care which the representee alleges the representor has breached. Put another way, did the pre-contractual representation relied on by the plaintiff become an express term of the subsequent contract? If so, absent any overriding considerations arising from the context in which the transaction occurred, the plaintiff cannot bring a concurrent action in tort for negligent misrepresentation and is confined to whatever remedies are available under the law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required elements for a successful claim in negligent misrepresentation were stated by the court as follows at paragraph 33:</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already found that the sales material provided to Mr. Houghton by Intrawest, and the statements made by its representatives, left a misleading implication that Intrawest would be moving promptly to complete the ski runs and the connecting trails. I have also found that Mr. Houghton reasonably relied on those representations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questions to be decided are whether Intrawest owed a duty of care in the circumstances, whether the misrepresentation was made negligently (the standard of care) and whether the entire contract clause excludes reliance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Before addressing those questions, I must first deal with the submission by Intrawest that in order to be actionable, a misrepresentation must be a statement of existing facts, not an opinion about future events or intentions. Where a party says it has a specific and detailed plan to do certain things, that is a statement of present fact and I understood counsel for Intrawest to concede that point in argument. The sales material and statements by Intrawest were not merely statements of future intention, they were representations about a specific plan that it had already prepared and was beginning to implement. As such, they are capable of attracting liability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is consistent with the result in Queen. That case involved representations leading to an employment contract. The plaintiff's employment was terminated about a year later because a major project he was to be working on had not proceeded. The Court said the representation in question did not relate to the plaintiff's future involvement and responsibilities, but to the very existence of the job, which was a matter of existing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order for the duty of care to arise, there must be a "special relationship" between the parties. The circumstances giving rise to such a relationship are not limited to situations involving professional advisors: Queen at paragraph 47. In Kingu at 23 McLachlin J.A. (as she then was), said the duty will arise in a relationship where: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upon his skill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Carman at paragraph 41, the Supreme Court of Canada, after considering the question of a collateral contract, also considered negligent misrepresentation. It held that the entire contract clause also excluded any duty of care. Martland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Carman was made aware, when Fielding received the tender documents, and read and understood clause 3.1, that if it entered into an agreement with C.P.R. it was doing so on its own knowledge as to the quantities of material to be removed and that it would not rely upon any information or statement made to it by C.P.R. in relation to the work. Fielding was aware of this when he sought information from a C.P.R. employee. He knew that if information was obtained, Carman would be relying upon it at its own risk. In my opinion, on the facts of this case, a duty of care on the part of C.P.R. in respect of information provided by its employee never arose provided the information was given honestly. The trial judge has found that the misrepresentation made to Carman was made innocently without intent to defraud.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Queen, the Court distinguished Carman on the basis that the disclaimer of responsibility was contained in tender documents that the plaintiff had when it received and relied upon the misrepresentation. In Queen, the representations were made before the alleged disclaimer was written into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That distinction would also be applicable in this case. The representations were made well before the contract was executed. However, a more important distinction on the facts of this case is that the plaintiff in Carman was in a position to inspect the work site and apply its own knowledge and experience in estimating the amount of work involved. The defendant did not have any greater skill and knowledge than did the plaintiff. In this case, the representations related to Intrawest's internal plans, schedules and budgets. Only Intrawest was in a position to have any knowledge about those things and Mr. Houghton had to rely on Intrawest's representations. That relationship gave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applicable standard of care was also made clear in Queen. The Court said at paragraph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with respect to representations made during pre-contractual negotiations is over and above a duty to be honest in making those representations. It requires not just that the representor be truthful and honest in his or her representations. It also requires that the representor exercise such reasonable care as the circumstances require to ensure that the representations made are accurate and not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All of Intrawest's promotional material for Kadenwood and all of the verbal representations pointed to the conclusion that it was developing a subdivision in which lot 13 would have ski-in, ski-out access that would be equivalent to or exceeding that of the best properties at Whistler. Intrawest did not put any qualifications on the extent of the work it planned to do or the timing of it and, in the absence of such express qualifications, the representations were misleading. There was therefore a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next question is whether the entire contract clause excludes liability for that negligent misrepresentation. As stated in the passage from Queen quoted above, the question is whether the duties created or negated by the contract are co-extensive with the duties alleged in tort. In my view,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contract is for the sale of a lot in a development. While the development is described as being adjacent to ski runs, the ski runs are part of Intrawest's overall ski operation and not part of the development. Intrawest's plans for construction of those runs, and the timing of that construction, were matters of importance to any potential Kadenwood purchaser, but they are not in any way part of the contract. The question of who would be paying for construction of ski trails within Kadenwood was one that could have been expressly dealt with one way or another in the contract, but it was not. The tort duty on Intrawest was a separate duty to accurately and fully set out its development plan while attempting to attract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Even if I am wrong in that analysis, Mr. Houghton is entitled to rely on the fact that, as in Queen, a limitation written into a contract does not, in the absence of express language, exclude representations made during pre-contractual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Finally, I note that the Court of Appeal in Zippy Print said that an entire contract clause similar to the one at issue here did not exclude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specific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the above reasons, I find that Mr. Houghton is entitled to damages for negligent misrepresentation and is entitled to set-off those damages against the amount owing to Intrawest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Rule 18A application before me was an application by Intrawest to dismiss Mr. Houghton's claim and Mr. Houghton initially took the position that the matter could not be decided under Rule 18A. In these circumstances, it is not surprising that neither party was in a position to present evidence on the quantum of damages. The assessment of damages, including arguments about the proper basis for such an assessment, will have to proceed to trial or, if possible, a further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meantime, Intrawest is entitled to the foreclosure order that it seeks, but with an order staying enforcement until the amount of Mr. Houghton's offsetting damages is determined. Intrawest is entiled to costs of foreclosure as set out in the mortgage, but Mr. Houghton is entitled to the costs of this application, which dealt primarily with Intrawest's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Jaid v. Chavez, [2013] B.C.J. No. 2784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K.S. Sainty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M104736, M104737 and M131233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Khaled Jaid, Plaintiff, and Jose Felix Emilio Chavez, Defendant And between Khaled Jaid, Plaintiff, and James William Armstrong, Defendant And between Khaled Jaid, Plaintiff, and Feng Yin and Yin Yin,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8" w:name="Keywords_23"/>
      <w:bookmarkEnd w:id="158"/>
      <w:r>
        <w:rPr>
          <w:rFonts w:ascii="arial" w:eastAsia="arial" w:hAnsi="arial" w:cs="arial"/>
          <w:b/>
          <w:color w:val="000000"/>
          <w:sz w:val="20"/>
          <w:lang w:val="en-US" w:eastAsia="en-US" w:bidi="ar-SA"/>
        </w:rPr>
        <w:t>Civil litigation — Civil procedure — Costs — Assessment or fixing of costs — Considerations — Whether amount fair and reasonable — Particular items — Disbursements — Application by plaintiff for determination of costs following settlement of three actions for damages for personal injuries suffered in three motor vehicle accidents allowed — All claims settled for $50,000 plus costs — Parties agreed to tariff costs of $13,306 — Plaintiff claimed disbursements of $55,497 including $38,005 for expert reports, private MRI and cost of interpreter at mediation — Private MRI and interpreter necessary and proper — Certain reports including second neurologist's report, functional capacity assessment, occupational medicine report, and vocational assessment not necessary or proper — Disputed disbursements allowed in amount of $18,960 — Supreme Court Rules, Rule 14-1(5).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Application by plaintiff for determination of costs following settlement of three actions for damages for personal injuries suffered in three motor vehicle accidents allowed — Settled all claims for $50,000 plus costs — Parties agreed to tariff costs of $13,306 — Plaintiff claimed disbursements of $55,497 including $38,005 for expert reports, private MRI and cost of interpreter at mediation — Private MRI and interpreter necessary and proper — Certain reports including second neurologist's report, functional capacity assessment, occupational medicine report, and vocational assessment not necessary or proper — Disputed disbursements allowed in amount of $18,960 — Supreme Court Rules, Rule 14-1(5).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9" w:name="Case Summary_23"/>
            <w:bookmarkEnd w:id="1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 determination of his costs following the settlement of three actions for damages for personal injuries suffered in three motor vehicle accidents. The plaintiff had sought damages of $215,816 but settled his claims for all three actions at mediation for $50,000 plus assessable costs. The parties had agreed the plaintiff's tariff costs amounted to $13,306. The plaintiff claimed disbursements of $55,497, which included $38,005 for expert reports, a private MRI and the cost of an interpreter at the mediation. The MRI was recommended by the plaintiff's rheumatologist to determine the nature and extent of his injuries. The expert reports included reports from the plaintiff's family physician, two neurologists, a neurosurgeon, a psychiatrist, a functional capacity assessment, an occupational medicine report, a vocational assessment, and a cost of future care report. The defendants submitted that several reports were commissioned on the inappropriate finding of a neurologist that the plaintiff suffered from post-traumatic stress disorder. The plaintiff's psychiatrist had found he did not suffer from post-traumatic stress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0" w:name="Holdings of Court_19"/>
            <w:bookmarkEnd w:id="16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MRI was ordered to assist with diagnosis and was necessary for the purposes of the litigation. It was reasonable to pay for the MRI privately. It was necessary and proper to obtain an initial and updated report from the plaintiff's family physician. The costs were reasonable. It was not necessary or proper to obtain the doctor's opinion on the reports of other experts. The amount charged for the neurologist's report, opining on areas outside his expertise, was too high. The cost was reduced from $3,240 to $2,800. It was not necessary or proper to retain a second neurologist, nor was there any evidence warranting the referral to a neurosurgeon. Those costs were disallowed. The psychiatrist's initial report cost of $2,950 was reasonable. His subsequent reports were necessary and reasonable. There was no evidence to support the commissioning of the functional capacity assessment, the occupational medicine report and the vocational assessment. Those costs were disallowed. Costs for the cost of future care report were allowed. The interpreter was a necessary and proper expense. The disputed disbursements were allowed in the amount of $18,960.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1" w:name="Legislation Cited_18"/>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14-1(5), Rule 57(4)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2" w:name="Counsel_23"/>
      <w:bookmarkEnd w:id="1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L.E. Kancs.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Fong.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3"/>
      <w:bookmarkEnd w:id="163"/>
      <w:r>
        <w:pict>
          <v:line id="_x0000_s1148"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REGISTRAR K.S. SAINTY"/>
            <w:bookmarkEnd w:id="164"/>
            <w:r>
              <w:rPr>
                <w:rFonts w:ascii="arial" w:eastAsia="arial" w:hAnsi="arial" w:cs="arial"/>
                <w:b/>
                <w:color w:val="000000"/>
                <w:sz w:val="30"/>
                <w:lang w:val="en-US" w:eastAsia="en-US" w:bidi="ar-SA"/>
              </w:rPr>
              <w:t>REGISTRAR K.S. SAINTY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appeared before me on November 5, 2013 to assess the plaintiff's costs in respect of three actions, all related to motor vehicle accidents involving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November 9, 2008 ("Accident No. 1"). In that accident, the plaintiff suffered injuries to his neck, shoulder, upper and lower back, left arm, left elbow and left hand and fingers. Accident No. 1 also affected the plaintiff's mental state in that, following that accident, the plaintiff suffered from fear of driving, anxiety, anger, stress, emotional trauma, worry and had problems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filed a notice of civil claim in respect of Accident No. 1 (</w:t>
      </w:r>
      <w:r>
        <w:rPr>
          <w:rFonts w:ascii="arial" w:eastAsia="arial" w:hAnsi="arial" w:cs="arial"/>
          <w:i/>
          <w:color w:val="000000"/>
          <w:sz w:val="20"/>
          <w:lang w:val="en-US" w:eastAsia="en-US" w:bidi="ar-SA"/>
        </w:rPr>
        <w:t>Jaid v. Chavez</w:t>
      </w:r>
      <w:r>
        <w:rPr>
          <w:rFonts w:ascii="arial" w:eastAsia="arial" w:hAnsi="arial" w:cs="arial"/>
          <w:color w:val="000000"/>
          <w:sz w:val="20"/>
          <w:lang w:val="en-US" w:eastAsia="en-US" w:bidi="ar-SA"/>
        </w:rPr>
        <w:t>, BCSC Vancouver Registry, Action No. M104736) on September 29, 2010 ("Action No. 1"). The defendant filed a response to that claim on January 17, 2011, denying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motor vehicle accident occurred on August 17, 2009 ("Accident No. 2"). In that accident, the plaintiff suffered new injuries to the top of his head and left side of his stomach but also aggravated the injuries he suffered in Accident No. 1 (except for those associated with his left arm). Additional effects of Accident No. 2 were headaches, pain in his stomach, emotional trauma, further increased stress,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also filed his notice of civil claim in respect of Accident No. 2 (</w:t>
      </w:r>
      <w:r>
        <w:rPr>
          <w:rFonts w:ascii="arial" w:eastAsia="arial" w:hAnsi="arial" w:cs="arial"/>
          <w:i/>
          <w:color w:val="000000"/>
          <w:sz w:val="20"/>
          <w:lang w:val="en-US" w:eastAsia="en-US" w:bidi="ar-SA"/>
        </w:rPr>
        <w:t>Jaid v. Armstrong</w:t>
      </w:r>
      <w:r>
        <w:rPr>
          <w:rFonts w:ascii="arial" w:eastAsia="arial" w:hAnsi="arial" w:cs="arial"/>
          <w:color w:val="000000"/>
          <w:sz w:val="20"/>
          <w:lang w:val="en-US" w:eastAsia="en-US" w:bidi="ar-SA"/>
        </w:rPr>
        <w:t>, BCSC Vancouver Registry, Action No. M104737) on September 29, 2010 ("Action No. 2"). The defendant filed a response to that claim on January 17, 2011. The defendant also denied liability for Accident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motor vehicle accident occurred on January 3, 2013 ("Accident No. 3"). That accident aggravated the plaintiff's injuries to his head, neck, shoulders, upper, mid and lower back and left leg and exacerbated his fear of driving, headaches,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in Actions No. 1 and 2 filed a notice requiring trial by jury on January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filed a notice of civil claim in respect of Accident No. 3 (</w:t>
      </w:r>
      <w:r>
        <w:rPr>
          <w:rFonts w:ascii="arial" w:eastAsia="arial" w:hAnsi="arial" w:cs="arial"/>
          <w:i/>
          <w:color w:val="000000"/>
          <w:sz w:val="20"/>
          <w:lang w:val="en-US" w:eastAsia="en-US" w:bidi="ar-SA"/>
        </w:rPr>
        <w:t>Jaid v. Yin and Yin</w:t>
      </w:r>
      <w:r>
        <w:rPr>
          <w:rFonts w:ascii="arial" w:eastAsia="arial" w:hAnsi="arial" w:cs="arial"/>
          <w:color w:val="000000"/>
          <w:sz w:val="20"/>
          <w:lang w:val="en-US" w:eastAsia="en-US" w:bidi="ar-SA"/>
        </w:rPr>
        <w:t>, BCSC Vancouver Registry, Action No. M131233) on February 26, 2013 ("Action No. 3"). The defendants' response to that action was filed on March 18, 2013. As with Accidents No. 1 and 2, the defendants in Action No. 3 denied liability for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trial of these matters -- set to be heard together -- was scheduled to commence on June 24, 2013 for seven days. On February 18, 2013, the defendants in Actions No. 1 and 2 amended their responses to civil claims and admitted liability for Accidents No.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Liability for Accident No. 3 remained a major issue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agreed to attempt mediation and a mediation was held on April 17, 2013. The plaintiff initially sought damages of $215,816 plus assessable costs and disbursements; he settled his claims in respect of all three Actions at mediation for the sum of $50,000 plus assessable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were unable to agree on the costs and disbursements and the plaintiff filed appointments in all three of the actions for assessment of his costs. The parties first appeared before me on November 4, 2013 to conduct a pre-hearing conference in respect of the assessments of costs. I advised them at that pre-hearing conference that I was concerned about the time estimate for hearing all three appointments (2 hours in total) and urged them to try and settle matters or, at the very least, narrow their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parties arrived for the actual assessment on November 5, 2013, they advised me they had reached an agreement in respect of the tariff items and that the plaintiff would be entitled to 108 units for all three of the Actions which, at $110 per unit, resulted in the plaintiff being awarded tariff costs of $11,880 plus taxes (GST and PST) totalling $1,425.60. Thus, by consent of the parties, the plaintiff's tariff costs (inclusive of taxes) amount to $13,305.60.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being advised that the parties had agreed on the tariff costs and confirming the amounts for the record, we then turned to the matters in dispute -- the plaintiff's disbursements which, as set out in the (revised) bill of costs presented to me at the hearing, were claimed at a total of $55,497.64 inclusive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I concluded the disbursements portion of the hearing, I began giving oral reasons. First, I noted and commended counsel for the agreements made between them in respect of certain so-called "administrative disbursements": filing fees, photocopies, postage facsimiles and the like which often take up an extraordinary amount of time on an assessment. Secondly, I noted that the main issues on this assessment related to the fees of the various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then began giving my oral reasons on the disputed disbursements and ruled in respect of one matter -- the plaintiff's claim for $31 in agent's fees for each of the three appointments filed (one in each action) to assess the plaintiff's costs. I held that these costs were excessive as $4.75 was charged by the agents to write a cheque (which counsel could do), and there were duplicative costs for attending at various registry counters for each appointment when all were (most likely) presented and filed at the same time. Accordingly, I reduced the $93 (total) charged, to a total of $26.25 made up of $14.50 to confirm the appointments were, in fact, set on the list plus a further $11.75 to file them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making that decision, I concluded that I needed additional time to consider the balance of the disbursements -- the costs of various experts' reports and MRIs undergone by the plaintiff. I therefore stood the hearing down for a period of time to further review the materials and consider the parties' submissions. Following a brief (30 minute) adjournment, I advised the parties that I intended to reserve my decision with respect to this matter as I felt that it deserved more than cursory consideration by me. These reasons now reflect that reserved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disbursements at issue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Description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Rob Carson reports re: Cost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Future Care and Future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Loss dated March 27, 2013</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 Health Assessments - Andrew Hosking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5332"/>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IME Report dated November 13, 2012</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5751"/>
        <w:gridCol w:w="115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Addendum report dated November 28, 2012</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104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Derek Nordin, Vocational Consulting Group</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Daniel Gouws, Occupational</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 Physician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$3,825</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Kulwant Riar, Psychiatrist: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$9,450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IME Report dated July 26, 2009</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30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Follow-up Assessment dated</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17, 2011</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($3,250)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Updated Report dated April 2, 2013</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Donald Cameron, Neurologist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$3,240</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Gordon Robinson, Neurologist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Navraj Heran, Neurosurgeon of</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Cira Medical Services Inc.</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Gurdeep Parhar, family physician</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$5,430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Medical Opinion re Dr. Cameron's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 dated September 23, 2010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Medical Opinion re Dr. Shuckett's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 dated February 26, 2011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Medical Opinion re Rob Corcoran's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report dated April 11, 2011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Medical Report dated May 5, 2011</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2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Medical Report re Dr. Shuckett &amp; MRI</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May 24, 2011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($312)</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Updated Medical Report dated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5, 2013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CMI (Canadian Magnetic Imaging)</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MRI exam April 20, 2011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$995</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Bahman Shirazi, Interpreter,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attendance at mediation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24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$38,005</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general, the plaintiff argues that each of the listed disbursements were necessary and proper to the conduct of the proceeding and that the amounts charged for such disbursements are reasonable in the circumstances (see Rule 14-1(5) of the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argue that many of the disbursements were neither necessary nor proper and were incurred by the plaintiff (or his counsel) out of an abundance of caution or excessive zeal and, therefore, ought to be disallowed (see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More particularly, the defendants argue that much of the plaintiff's case and the commissioning of all of the experts was built on what was an error in judgment on the part of Dr. Cameron, a neurologist retained by the plaintiff who, in addition to considering the plaintiff's neurological health, suggested that the plaintiff might be suffering from PTSD. Mr. Fong, counsel for the defendants, referred me to certain paragraphs of Dr. Cameron's report wherein he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my neurological assessment of Mr. Khaled and following my review of the medical records and clinical documents, it is my opinion that Mr. Khaled suffered soft tissue and musculoskeletal injuries to his neck and back sustained at the time of the motor vehicle accident of November 9, 2008. It is my opinion that Mr. Khaled suffered exacerbation of chronic back pain which had been present following the 2004 motor vehicle accident. His family physician documents in his clinical records that Mr. Khaled was continuing to suffer with chronic back pain shortly before the motor vehicle accident of November 9, 2008.</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Khaled did not suffer injury to his central nervous system or his peripheral nervous system at the time of the motor vehicle accident of November 9, 2008. Any complaints of numbness of his left arm following this accident would probably be due to irritation of sensory nerves serving the upper extremities due to muscle spasm present as a result of soft tissue and musculoskeletal injuries to the neck and shoulders that he would have sustained at the time of the motor vehicle accident of November 9, 2008. Mr. Khaled did not indicate to me that he suffered with numbness or tingling of either upper extremity following either one of these motor vehicle accidents. However, the clinical records particularly the physiotherapy notes document that he complained of numbness of the left upper extremity following the first accident. In my opinion, this is not due to injury of a cervical nerve root or peripheral nerve but rather irritation of sensory nerves serving the left upper extremity due to muscle spasm in the shoulders and base of the left side of his neck.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Khaled entered into a supervised rehabilitation program at the request of his family physician. Despite this, he continued to suffer with neck pain and back pain when he was involved in the second motor vehicle accident of August 17, 2009. It is my opinion that Mr. Khaled suffered with exacerbation of head pain, neck pain and back pain as well as left shoulder pain as a result of soft tissue and musculoskeletal injuries that he sustained at the time of the August 17, 2009 motor vehicle accident. It is my opinion that Mr. Khaled did not suffer injury to his central nervous system or his peripheral nervous system at the time of the August 17, 2009 motor vehicle accident.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Khaled reported to me that he had problems with memory following the first accident and that his memory problems increased in degree or deteriorated over time following this accident. It is my opinion that Mr. Khaled's complaints of memory dysfunction are not due to injury to his central nervous system but rather that his memory problems are due to pain and discomfort present as a result of soft tissue and musculoskeletal injuries that he sustained at the time of these two motor vehicle accidents, and also </w:t>
      </w:r>
      <w:r>
        <w:rPr>
          <w:rFonts w:ascii="arial" w:eastAsia="arial" w:hAnsi="arial" w:cs="arial"/>
          <w:color w:val="000000"/>
          <w:sz w:val="20"/>
          <w:u w:val="single"/>
          <w:lang w:val="en-US" w:eastAsia="en-US" w:bidi="ar-SA"/>
        </w:rPr>
        <w:t>due to the fact that he has suffered with a post traumatic stress disorder and depression</w:t>
      </w:r>
      <w:r>
        <w:rPr>
          <w:rFonts w:ascii="arial" w:eastAsia="arial" w:hAnsi="arial" w:cs="arial"/>
          <w:color w:val="000000"/>
          <w:sz w:val="20"/>
          <w:lang w:val="en-US" w:eastAsia="en-US" w:bidi="ar-SA"/>
        </w:rPr>
        <w:t>. I would defer to the specialists in psychiatry and/or psychology such as Dr. Riar to provide an opinion regarding the ongoing post traumatic stress disorder, psychological dysfunction and depression and its long-term prognosis. The medical records of the family physician do document Mr. Khaled as suffering with depression prior to these two motor vehicle accidents. It is therefore probable that he suffered with exacerbation of psychological dysfunction as a result of the injuries that he sustained at the time of the accident. It is also probable that Mr. Khaled's marriage break-up has been a significant contributing factor to his psychological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say it was inappropriate of Dr. Cameron to make any findings in respect of PTSD, an area in respect of which he has no expertise. The defendants note that the plaintiff had a psychiatrist (Dr. Riar) who was the expert who ought to have opined on that subject. The defendants note that Dr. Riar did not find PTSD or says that if there is any PTSD, it is mild, at best. They argue, therefore, that most of the plaintiff's case in this matter was built on a shaky foundation: Dr. Cameron's finding in his report that the plaintiff appeared to be suffering from PTSD. Consequently, the defendants argue that the costs of the experts' reports, which built on that shaky foundation, were improper and ought to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also suggest that it ought to be of note to me that the plaintiff was in an accident in 2004 in which he suffered injuries to his back, neck, shoulder and the like and which left him with some residual (permanent) damage to those areas. The issue (as noted by plaintiff's counsel) was how much of the plaintiff's injuries in these three accidents were divisible or indivisible from the lingering (and permanent) effects of the injuries sustained by the plaintiff in the 2004 accident. The plaintiff settled his claims in respect of that 2004 accident for an excess of $120,000 in damages (or there about -- my notes on the matter are somewhat unclear; however it was a not insignificant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series of accidents, starting with Accident No. 1, moving to Accident No. 2 and culminating in Accident No. 3, aggravated those pre-existing injuries but, as noted by Mr. Fong, his damages were only going to be for aggravating those injuries. It was, he says, out of proportion to what was at stake in this litigation -- damages for aggravating the injuries sustained in the 2004 accident -- to engage so many experts in an attempt to have the plaintiff declared to be permanently disabled when none of the experts who ought to have opined on that (Dr. Riar (as to the plaintiff's psychiatric injuries), Dr. Shuckett (as to his rheumatic injuries) and Dr. Cameron (as to his neurological injuries)) found that the plaintiff had been permanently disabled as a result of the First or Second Accident. Specifically, the defendants point to:</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Riar's first report of July 26, 2009, wherein he opined that, while the plaintiff's short-term prognosis was guarded, his "long-term prognosis for psychiatric problems is favourable";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Riar's second report (January 17, 2011) wherein he notes: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issue of disability, I felt that Mr. Jaid was at least partially disabled due to psychiatric symptoms of anxiety, depression and chronic pain. As far as Mr. Jaid's psychiatric short-term prognosis, that is for the next four to six months is concerned, this is guarded but with intervention his functioning can be improved. Overall, Mr. Jaid's long-term prognosis is favourable ...</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Shuckett's report of January 31, 2011, wherein she opines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hard to prognosticate in this case due to the superimposition of physical and emotional, psychosocial issues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said that, however, she does not state that the plaintiff is in any way permanently disabled; only that she believes there is still room for improvement.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Cameron's report wherein, at paragraph 18, Dr. Cameron confirms that the plaintiff's neurological examination produced "normal"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REVIEW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test for determining whether a disbursement ought to be allowed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at the time the disbursement or expense was incurred it was a proper disbursement in the sense of not being extravagant, negligent, mistaken or a result of excessive caution or excessive zeal, judged by the situation at the time when the disbursement or expense was incurred.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[1983] B.C.J. No. 1482</w:t>
        </w:r>
      </w:hyperlink>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56 B.C.L.R. 178</w:t>
        </w:r>
      </w:hyperlink>
      <w:r>
        <w:rPr>
          <w:rFonts w:ascii="arial" w:eastAsia="arial" w:hAnsi="arial" w:cs="arial"/>
          <w:color w:val="000000"/>
          <w:sz w:val="20"/>
          <w:lang w:val="en-US" w:eastAsia="en-US" w:bidi="ar-SA"/>
        </w:rPr>
        <w:t xml:space="preserve"> (C.A.)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provisions of Rule 14-1(5)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relating to the Registrar's discretion to award disbursements are broad. In general (see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[1981] B.C.J. No. 1268</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32 B.C.L.R. 322</w:t>
        </w:r>
      </w:hyperlink>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Registrar must consider all the circumstances of each case and determine whether the disbursements were reasonably incurred and were justified. He must be careful to balance his duty to disallow expenses incurred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which are extravagant, with his duty to recognize that a carefully prepared case requires that counsel use care in the choice of expert witnesses and examine all sources of information and possible evidence which may be of advantage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These are the basic tenets that I must keep in mind in determining whether to allow or disallow the plaintiff to be reimbursed the costs of a disbursement.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Canadian Magnetic Imaging re MRI Exam April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Shuckett, a rheumatologist (whose fees are not at issue in this matter) saw the plaintiff on January 26, 2011 for the purposes of an independent medical examination to offer a rheumatology opinion in respect of Accidents No. 1 and 2. In her report dated January 31, 2011, Dr. Shuckett notes that the plaintiff has headaches, neck pain, left shoulder pain, upper and mid-back pain, low back pain, and left arm and hand symptoms. She also notes that the plaintiff complains of depression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report Dr. Shuckett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he [the plaintiff] should undergo an MRI of his lumbar spine to rule out disc herniation in light of his left leg symptoms, albeit they do not follow a clear nerve root distribution. I will enclose a form for an MRI of the low back. The MRI results may have some impact on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MRI recommended by Dr. Shuckett was performed on April 20, 2011, who was then asked to provide a further opinion in relation to the findings of the MRI. Dr. Shuckett's further opinion was provided on May 9, 2011. In that opinion, Dr. Shuckett suggests that the plaintiff has underlying osteoarthritic changes or degenerative changes in his low back. Specifically, with respect to the MRI, Dr. Shuckett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these findings on the MRI, in my view, were probably pre-existing and are not related causally to the subject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question first to be answered is whether or not the disbursement itself was necessary or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There have been a number of cases recently dealing with the issue of the necessity, propriety and subsequent reasonableness of MRI scans. In </w:t>
      </w:r>
      <w:r>
        <w:rPr>
          <w:rFonts w:ascii="arial" w:eastAsia="arial" w:hAnsi="arial" w:cs="arial"/>
          <w:i/>
          <w:color w:val="000000"/>
          <w:sz w:val="20"/>
          <w:lang w:val="en-US" w:eastAsia="en-US" w:bidi="ar-SA"/>
        </w:rPr>
        <w:t>Phelan v. Newcombe</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2007 BCSC 714</w:t>
        </w:r>
      </w:hyperlink>
      <w:r>
        <w:rPr>
          <w:rFonts w:ascii="arial" w:eastAsia="arial" w:hAnsi="arial" w:cs="arial"/>
          <w:color w:val="000000"/>
          <w:sz w:val="20"/>
          <w:lang w:val="en-US" w:eastAsia="en-US" w:bidi="ar-SA"/>
        </w:rPr>
        <w:t>, Registrar Blok (as he then was) denied a plaintiff's claim for the costs of an MRI scan. In making his decision, the Learned Registrar says (at paras. 16 and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general, disbursements that are incurred based on reasoning that is equivalent to "just in case" or "you never know" will not be found to have been reasonably incurred or, to put it another way, they will be found to be extravagant or the result of excessive caution or zeal.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add that the mere fact that a physician has recommended that an MRI scan be done will not guarantee its recovery as a disbursement. For the most part, diagnostic imaging will be a medical matter (and any private medical costs would fall under special damages) and its role as an aid in litigation will be relatively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Parotta v. Bodnar</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BCSC 787</w:t>
        </w:r>
      </w:hyperlink>
      <w:r>
        <w:rPr>
          <w:rFonts w:ascii="arial" w:eastAsia="arial" w:hAnsi="arial" w:cs="arial"/>
          <w:color w:val="000000"/>
          <w:sz w:val="20"/>
          <w:lang w:val="en-US" w:eastAsia="en-US" w:bidi="ar-SA"/>
        </w:rPr>
        <w:t>, it was confirmed that MRIs are often ordered for more than one purpose: treatment and diagnosis. If an MRI is ordered for treatment purposes only, it must be said that it is an item of special damages and not recoverable on an assessment of costs. If ordered for diagnostic purposes, then it may be said to be a necessary or proper disbursement and recoverable. It then remains to be determined whether the cost of the particular MRI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on the evidence before me that, in this case, the MRI was ordered for the purposes of assisting Dr. Shuckett to determine the nature and extent of the plaintiff's injuries. Thus it was ordered to assist with diagnosis and was necessary for the purposes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Was the cost of it reasonable? The onus is on the plaintiff to establish that the amount claimed for a disbursement is reasonable. In instances where it may have been possible to obtain an MRI scan through the public health care system, registrars have held that the costs of a private MRI are not reasonable and have disallowed them (see, for example: </w:t>
      </w:r>
      <w:r>
        <w:rPr>
          <w:rFonts w:ascii="arial" w:eastAsia="arial" w:hAnsi="arial" w:cs="arial"/>
          <w:i/>
          <w:color w:val="000000"/>
          <w:sz w:val="20"/>
          <w:lang w:val="en-US" w:eastAsia="en-US" w:bidi="ar-SA"/>
        </w:rPr>
        <w:t>Jalili v. Ma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2013 BCSC 1420</w:t>
        </w:r>
      </w:hyperlink>
      <w:r>
        <w:rPr>
          <w:rFonts w:ascii="arial" w:eastAsia="arial" w:hAnsi="arial" w:cs="arial"/>
          <w:color w:val="000000"/>
          <w:sz w:val="20"/>
          <w:lang w:val="en-US" w:eastAsia="en-US" w:bidi="ar-SA"/>
        </w:rPr>
        <w:t xml:space="preserve"> (Registrar)</w:t>
      </w:r>
      <w:r>
        <w:rPr>
          <w:rFonts w:ascii="arial" w:eastAsia="arial" w:hAnsi="arial" w:cs="arial"/>
          <w:i/>
          <w:color w:val="000000"/>
          <w:sz w:val="20"/>
          <w:lang w:val="en-US" w:eastAsia="en-US" w:bidi="ar-SA"/>
        </w:rPr>
        <w:t>; Repnicki v. 616696 B.C. Ltd.</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2013 BCSC 1421</w:t>
        </w:r>
      </w:hyperlink>
      <w:r>
        <w:rPr>
          <w:rFonts w:ascii="arial" w:eastAsia="arial" w:hAnsi="arial" w:cs="arial"/>
          <w:color w:val="000000"/>
          <w:sz w:val="20"/>
          <w:lang w:val="en-US" w:eastAsia="en-US" w:bidi="ar-SA"/>
        </w:rPr>
        <w:t xml:space="preserve"> (Registrar); and </w:t>
      </w:r>
      <w:r>
        <w:rPr>
          <w:rFonts w:ascii="arial" w:eastAsia="arial" w:hAnsi="arial" w:cs="arial"/>
          <w:i/>
          <w:color w:val="000000"/>
          <w:sz w:val="20"/>
          <w:lang w:val="en-US" w:eastAsia="en-US" w:bidi="ar-SA"/>
        </w:rPr>
        <w:t>Kumanan v. Achim</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2013 BCSC 1867</w:t>
        </w:r>
      </w:hyperlink>
      <w:r>
        <w:rPr>
          <w:rFonts w:ascii="arial" w:eastAsia="arial" w:hAnsi="arial" w:cs="arial"/>
          <w:color w:val="000000"/>
          <w:sz w:val="20"/>
          <w:lang w:val="en-US" w:eastAsia="en-US" w:bidi="ar-SA"/>
        </w:rPr>
        <w:t xml:space="preserv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affidavit in support of the bill of costs, Mr. Kancs, counsel for the plaintiff,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Dr. Shuckett's recommendations in her medical report of January 31, 2011, arrangements were made for an MRI scan of the Plaintiff's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MRI was ordered fairly shortly after Dr. Shuckett's first medical report was received by plaintiff's counsel. The plaintiff remained symptomatic for some two years post-accident, and it appears Dr. Shuckett felt that the MRI results could assist her in opining on the plaintiff's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was not given any particular evidence as to how long it might have taken for the plaintiff to have undergone an MRI through the "public" as opposed to the "private" healthcare system in this province; however, I believe that I can confirm that, generally speaking, obtaining an MRI through the public system takes an absolute bare minimum of three to six months, to a maximum of 12 to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my view, in the particular circumstances of this case -- where the plaintiff remained symptomatic; Dr. Shuckett felt she needed an MRI to assist her in opining in respect of the plaintiff's prognosis; and the MRI was ordered in short order after being recommended -- I find that it was reasonable to order the MRI and have it paid for privately. The amount charged for the MRI ($995) is certainly within the amounts I usually see for MRIs done privately. Relying on my experience in matters of this nature (as I am entitled to do: see </w:t>
      </w:r>
      <w:r>
        <w:rPr>
          <w:rFonts w:ascii="arial" w:eastAsia="arial" w:hAnsi="arial" w:cs="arial"/>
          <w:i/>
          <w:color w:val="000000"/>
          <w:sz w:val="20"/>
          <w:lang w:val="en-US" w:eastAsia="en-US" w:bidi="ar-SA"/>
        </w:rPr>
        <w:t>Narvaez v. Zhang</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2010 BCSC 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Hamo v. Khan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2010 BCSC 205</w:t>
        </w:r>
      </w:hyperlink>
      <w:r>
        <w:rPr>
          <w:rFonts w:ascii="arial" w:eastAsia="arial" w:hAnsi="arial" w:cs="arial"/>
          <w:color w:val="000000"/>
          <w:sz w:val="20"/>
          <w:lang w:val="en-US" w:eastAsia="en-US" w:bidi="ar-SA"/>
        </w:rPr>
        <w:t xml:space="preserve"> (Registrar)), I award the plaintiff the costs of this MRI.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Dr. Parhar is the plaintiff's family physician. Dr. Parhar provided an initial medical-legal report on May 5, 2011, and an updated medical-legal report on March 5, 2013. He charged $2,100 for each of those medical-legal reports. The defendants agree that obtaining the first medical-legal report was necessary and proper; however, they argue that the amount charged by Dr. Parhar for that report is unreasonable and suggest that a more reasonable amount for that report would be the sum of $1,600, an amount which is close to the amount recommended by the BC Medical Association in its </w:t>
      </w:r>
      <w:r>
        <w:rPr>
          <w:rFonts w:ascii="arial" w:eastAsia="arial" w:hAnsi="arial" w:cs="arial"/>
          <w:i/>
          <w:color w:val="000000"/>
          <w:sz w:val="20"/>
          <w:lang w:val="en-US" w:eastAsia="en-US" w:bidi="ar-SA"/>
        </w:rPr>
        <w:t>Guidelines for Physicians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disagree with the defendants' submissions on this item. As I noted in </w:t>
      </w:r>
      <w:r>
        <w:rPr>
          <w:rFonts w:ascii="arial" w:eastAsia="arial" w:hAnsi="arial" w:cs="arial"/>
          <w:i/>
          <w:color w:val="000000"/>
          <w:sz w:val="20"/>
          <w:lang w:val="en-US" w:eastAsia="en-US" w:bidi="ar-SA"/>
        </w:rPr>
        <w:t>Dhillon v. Bowering</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2013 BCSC 1178</w:t>
        </w:r>
      </w:hyperlink>
      <w:r>
        <w:rPr>
          <w:rFonts w:ascii="arial" w:eastAsia="arial" w:hAnsi="arial" w:cs="arial"/>
          <w:color w:val="000000"/>
          <w:sz w:val="20"/>
          <w:lang w:val="en-US" w:eastAsia="en-US" w:bidi="ar-SA"/>
        </w:rPr>
        <w:t xml:space="preserve">, it is not a registrar's job on an assessment on costs such as this to subject the fees of each and every expert to line by line scrutiny. Nor is a doctor restricted to charging (or a plaintiff being reimbursed for) the amounts recommended in the </w:t>
      </w:r>
      <w:r>
        <w:rPr>
          <w:rFonts w:ascii="arial" w:eastAsia="arial" w:hAnsi="arial" w:cs="arial"/>
          <w:i/>
          <w:color w:val="000000"/>
          <w:sz w:val="20"/>
          <w:lang w:val="en-US" w:eastAsia="en-US" w:bidi="ar-SA"/>
        </w:rPr>
        <w:t>BCMA Guidelines for Physicians</w:t>
      </w:r>
      <w:r>
        <w:rPr>
          <w:rFonts w:ascii="arial" w:eastAsia="arial" w:hAnsi="arial" w:cs="arial"/>
          <w:color w:val="000000"/>
          <w:sz w:val="20"/>
          <w:lang w:val="en-US" w:eastAsia="en-US" w:bidi="ar-SA"/>
        </w:rPr>
        <w:t xml:space="preserve"> which have been held to be guidelines only; not determinative of the reasonable amount of an expert's fees (see </w:t>
      </w:r>
      <w:r>
        <w:rPr>
          <w:rFonts w:ascii="arial" w:eastAsia="arial" w:hAnsi="arial" w:cs="arial"/>
          <w:i/>
          <w:color w:val="000000"/>
          <w:sz w:val="20"/>
          <w:lang w:val="en-US" w:eastAsia="en-US" w:bidi="ar-SA"/>
        </w:rPr>
        <w:t>Hall v. Coad</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2002 BCSC 720</w:t>
        </w:r>
      </w:hyperlink>
      <w:r>
        <w:rPr>
          <w:rFonts w:ascii="arial" w:eastAsia="arial" w:hAnsi="arial" w:cs="arial"/>
          <w:color w:val="000000"/>
          <w:sz w:val="20"/>
          <w:lang w:val="en-US" w:eastAsia="en-US" w:bidi="ar-SA"/>
        </w:rPr>
        <w:t xml:space="preserve"> (Registrar), at para. 13). On an assessment of costs, a registrar ought to determine whether the amount charged, based on the work product and her experience in dealing with matters of this nature, is 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Dr. Parhar is a very well-respected physician. He is a general practitioner but also the Medical Director of C.O.R.E. [Complete Occupational, Rehabilitation, and Environmental Medicine] Occupational Healthcare Centre; the Associate Dean -- Equity and Professionalism for the Faculty of Medicine at the University of British Columbia; and a Clinical Assistant Professor in the Department of Family Practice, Faculty of Medicine at the University of British Columbia. I am satisfied that the $2,100 charged by Dr. Parhar was reasonable in the circumstances. In fact in </w:t>
      </w:r>
      <w:r>
        <w:rPr>
          <w:rFonts w:ascii="arial" w:eastAsia="arial" w:hAnsi="arial" w:cs="arial"/>
          <w:i/>
          <w:color w:val="000000"/>
          <w:sz w:val="20"/>
          <w:lang w:val="en-US" w:eastAsia="en-US" w:bidi="ar-SA"/>
        </w:rPr>
        <w:t>Jalili v. 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Registrar Cameron allowed a plaintiff to be reimbursed that same sum ($2,100) in respect of a medical-legal report authored by the same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Turning now to Dr. Parhar's updated medical-legal report, I am also satisfied that it was necessary and proper to obtain a second report. That report relates to the injuries the plaintiff suffered in Accident No. 3. The purpose of the report was to confirm that Accident No. 3 aggravated the plaintiff's injuries from Accidents No. 1 and 2 and confirmed his continued problems with pain and tenderness. It also provided an additional diagnosis of myofascial pain syndrome which had not been included in Dr. Parhar's previous report. An updated report would have been necessary had this matter proceeded to trial, for no other reason than to provide the trier of fact with evidence of the impact of Accident No. 3 on the plaintiff's injuries and prognosis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it was necessary and proper to obtain a new or updated report from Dr. Parhar. For the reasoning already set out, I find that the cost of that second report ($2,100) is reasonable, and I will allow the plaintiff to claim the costs of Dr. Parhar's second report at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to the two medical-legal reports, Dr. Parhar was asked by plaintiff's counsel to provide his comments on the reports of several of the other experts: Dr. Cameron's report dated September 3, 2010; Dr. Shuckett's report dated January 31, 2011; Mr. Cochran's report dated April 11, 2011; and Dr. Shuckett's report on the MRI dated May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Parhar's cost for providing these opinions was $300 each, plus taxes. I do not agree with Mr. Kancs' submissions that these reports were "necessary". They were ordered to substantiate the opinions of other experts involved in this matter and to attempt to bolster the plaintiff's claims. In my view, it was neither necessary nor proper to obtain Dr. Parhar's opinion on the reports of other experts. While it may have been of some assistance to counsel, each of the other expert's reports stands on its own. Having Dr. Parhar opine on them was overzealous and extravagant. Accordingly I disallow the costs of these additional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Cameron/Dr. Robinson/Dr.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retained two neurologists: Dr. Cameron and Dr. Robinson; and a neurosurgeon: Dr.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Kancs, in his affidavit of October 23, 2013, confirmed that he retained Dr. Cameron (whose report is dated September 3, 2010) because: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accident of August 17, 2009, the Plaintiff told me that as a result of the impact, he had hit the top of his head on the garage remote control that was located on his sun visor, in his vehicle. The Plaintiff also told me that he felt a "dent" in his head as a result of his accident.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Plaintiff told me that he began to experience headaches following the August 17, 2009 accident and related these headaches to the August 17, 2009 accident.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Plaintiff advised me he suffered from numbness in his left arm, left shoulder, left hand and fingers. Further, the Plaintiff complained about problems with his memory which he says were present after the first motor vehicle accident of November 9, 2008.</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above complaints, and in particular, to assess whether the Plaintiff suffered a significant head injury, I felt it was necessary to have the Plaintiff accessed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by Dr. Cameron (Neurologist), who saw the Plaintiff on July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respect of Dr. Robinson, Mr. Kancs in his affidavit of October 4, 2013 in support of the plaintiff's bill of costs,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referred the Plaintiff to Dr. Gordon Robinson in view of his continuing complaints of headaches. I felt that an opinion from a neurologist regarding the Plaintiff's continuing headaches would be an important opinion concerning his soft tissue injuries and chronic pain. Dr. Robinson has a great deal of experience with the relationship between soft tissue injuries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support of his decision to retain Dr. Heran, Mr. Kancs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Plaintiff's continuing low back symptoms and his apparent disability as a result, I felt that an independent medical examination with a neurosurgeon may offer some recommendations, including whether surgery was indicated, or a risk of surgery in the future may be an option for the Plaintiff. I felt that this medical examination was also important in view of the fact that the defence have elected Trial by Judge and Jury. In my view, chronic pain cases, such as this one, are sometimes difficult cases to deal with in front of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agree that it was necessary and proper to retain Dr. Cameron. However, they argue that Dr. Cameron's fees are simply too high, particularly in light of the fact that, although Dr. Cameron defers to Dr. Riar to further opine on these issues, at paragraph 22 of his report, Dr. Cameron opines that, in his view, the plaintiff may be suffering from PTSD, an area outside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No doubt it was necessary and proper for the plaintiff to retain a neurologist to opine on the issue of possible injuries to his nervous system. I do, however, agree with counsel for the defendants that the amount charged by Dr. Cameron for his opinion is high, given that Dr. Cameron's report contained excessive narrative and that in it he opined on areas outside his expertise (PTSD) (see </w:t>
      </w:r>
      <w:r>
        <w:rPr>
          <w:rFonts w:ascii="arial" w:eastAsia="arial" w:hAnsi="arial" w:cs="arial"/>
          <w:i/>
          <w:color w:val="000000"/>
          <w:sz w:val="20"/>
          <w:lang w:val="en-US" w:eastAsia="en-US" w:bidi="ar-SA"/>
        </w:rPr>
        <w:t>Wheeldon v. Magee</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BCSC 491</w:t>
        </w:r>
      </w:hyperlink>
      <w:r>
        <w:rPr>
          <w:rFonts w:ascii="arial" w:eastAsia="arial" w:hAnsi="arial" w:cs="arial"/>
          <w:color w:val="000000"/>
          <w:sz w:val="20"/>
          <w:lang w:val="en-US" w:eastAsia="en-US" w:bidi="ar-SA"/>
        </w:rPr>
        <w:t xml:space="preserve"> (Registrar) at para. 26). Dr. Cameron billed $3,240 for his opinion. Based on the fact that he spent unnecessary time and effort opining on an area outside his expertise, I would reduce that amount somewhat. In my view, Dr. Cameron's report ought to be allowed at the sum of $2,800.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argue that it was not necessary or proper to retain three persons with expertise in the field of neurology and/or neurosurgery and that one (Dr. Cameron) would have been sufficient. They say that neither Dr. Robinson nor Dr. Heran added to the findings in Dr. Cameron's report, especially given the fact that Dr. Cameron found the plaintiff to be neurologically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Dr. Cameron states that, from a neurological standpoint, the plaintiff could return to work. Dr. Robinson's report is similar. He notes that the plaintiff does not appear to be suffering from any apparent neurological deficits and finds the plaintiff to essentially be "normal" from a neurological standpoint. He suggests that the plaintiff's issues with neck and back pain, coupled with his headaches, are consistent with chronic pain disorder and not related to any underlying physiological or neurological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Kancs' evidence on why he retained Dr. Robinson is quite sparse. He simply states that it was necessary to have an opinion regarding the plaintiff's recurring headaches (one of the reasons he deposed he sent the plaintiff to Dr. Cameron for an independent medical examination). There is no reason given as to why it was necessary to retain Dr. Robinson rather than, for example, sending the plaintiff back to Dr. Cameron if it was felt that the plaintiff required reassessment. I am left to speculate as to why Dr. Robinson was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agree with the defendants' submissions that it was not necessary or proper to retain a second neurologist to opine on the plaintiff's condition given that Dr. Cameron had already found that the plaintiff had not suffered any injuries to his central or peripheral nervous system in the first or second motor vehicle accident. Accordingly, I disallow the $3,000 claimed by the plaintiff for Dr. Robinson's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for Dr. Heran, there is no evidence that warrants a referral to a neurosurgeon to determine whether or not the plaintiff might need surgery, especially given the normal reports from two eminently qualified neurologists. In my view, retaining Dr. Heran was extravagant and I disallow the $4,800 claimed by the plaintiff for the costs of retaining Dr. Heran and for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saw Dr. Riar on three separate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affidavit of justification dated October 4, 2013, Mr. Kancs states: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Plaintiff's continuing complaints regarding anxiety, fear of driving, anger, stress, emotional problems including depression and sleep problems, I felt that an independent medical examination by a psychiatrist was warranted. I referred the Plaintiff to Dr. Riar and had him provide a report to me dated July 26, 2009.</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Riar's first report was useful in terms of seeking Part 7 (Accident Benefits) along with diagnosing his problems, from an emotional/psychological point of view. This would be important for the tort claims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agree that it was necessary and proper to obtain the first report from Dr. Riar. However, they submit the amount Dr. Riar charged for that report was unreasonable and argue that I allow it at the sum of $1,500, not the $2,950 charged (although no specific reason, other than that charges for the report were simply excessive, was given as to why I ought to reduce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cannot agree with the defendants' submissions. The amount charged by Dr. Riar is well within the range of what I might expect to see from a specialist like Dr. Riar opining on matters such as those set out in his first report. The work product speaks for itself. I do not intend to arbitrarily reduce the amount charged simply on the basis that the defendants think it is excessive. As noted earlier, a registrar's role on an assessment of costs is to allow, based on her experience in like matters, a reasonable amount for those disbursements she has found to be necessarily or properly incurred in the conduct of an action (</w:t>
      </w:r>
      <w:r>
        <w:rPr>
          <w:rFonts w:ascii="arial" w:eastAsia="arial" w:hAnsi="arial" w:cs="arial"/>
          <w:i/>
          <w:color w:val="000000"/>
          <w:sz w:val="20"/>
          <w:lang w:val="en-US" w:eastAsia="en-US" w:bidi="ar-SA"/>
        </w:rPr>
        <w:t>Dhillon v. Bowering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will therefore allow the plaintiff the sum of $2,950 in respect of Dr. Riar's initial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Turning to Dr. Riar's second and third reports, in his affidavit, Mr. Kancs says this about them:</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the second accident of August 17, 2009, I once again asked that Dr. Riar see the Plaintiff for an updated assessment, given the effects of the second accident of August 17, 2009.</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Riar saw the Plaintiff on December 8, 2010 and forwarded his follow-up assessment report to me dated January 17, 2011. Dr. Riar's opinion in his report of January 17, 2011, was that the Plaintiff's pains and symptoms of anxiety and depression were aggravated by the second accident of August 17, 2009. Again, Dr. Riar recommended that the plaintiff attend with psychotherapy treatments.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third accident of January 3, 2013, I asked Dr. Riar to see the Plaintiff once again for a further updated medical/legal report. Dr. Riar provided me with that report which was dated April 2, 2013. Dr. Riar's opinion was that the third accident again aggravated his pre-existing symptoms of chronic pain disorder. Dr. Riar also felt that the Plaintiff's was disabled from performing any competitive employment or work. He felt that the help of an occupational therapist be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defence argues that neither the second nor the third assessment was necessary or proper in that neither of these two latter reports adds anything to Dr. Riar's prior reports and/or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disagree with the defendants' submissions on this point. The fact that Dr. Riar found nothing new is not to be looked at in hindsight. A registrar is to decide whether, at the time the report was ordered, it was necessary and proper to order such report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Kancs' evidence is that Dr. Riar's second and third reports were ordered for two purposes: Part 7 issues and diagnosis. Also, no doubt it was imperative in establishing the plaintiff's case to prove what psychological impact the second and then the third accidents had on his recovery and prognosis. That information would have been invaluable to the trier of fact had the matter proceeded to trial and, in addition, to establishing the plaintiff's non-pecuniary damages given that many of the plaintiff's claims rested upon aggravated symptoms and issues of anxiety and mild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Even though in his first report Dr. Riar notes that the plaintiff experienced "some symptoms suggestive of PTSD" and gives a guarded prognosis for the short term and a favourable prognosis for the long term, it is possible that either of the subsequent two accidents may have changed that diagnosis and it was necessary and/or proper for plaintiff's counsel to seek those reports. I am also of the view that the amounts charged by Dr. Riar for each of his subsequent reports ($3,250 each) were reasonable, and I will allow the plaintiff to recover the costs of each of those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Andrew Hosking, Ultima Health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was advised at the assessment of costs that, certainly following Accident No. 2 (it may have been earlier but my notes are unclear), the plaintiff was unemployed and on social assistance. Because of his reliance on social assistance, the plaintiff was referred to Triumph Vocational Services, a program funded by the BC Government/Ministry of Housing and Social Assistance, for a vocational assessment. Triumph Vocational Services in turn referred the plaintiff to Back in Motion Functional Assessments Inc. Rob Corcoran, a consultant occupational therapist, saw the plaintiff and prepared an "evaluation to determine [the plaintiff's] functional abilities and limitations" and to provide an opinion regarding the plaintiff's "suitability to perform a driving occupation or print shop support services". Mr. Corcoran's report was in evidence before me. It is dated January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the plaintiff met with Mr. Corcoran and his report was prepared, Mr. Kancs referred the plaintiff to Mr. Andrew Hosking of Ultima Health Assessments for a functional capacity assessment for use in the litigation. In his affidavit in support of the plaintiff's bill of costs, Mr. Kancs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recommendations made for a functional capacity evaluation and the fact that Rob Corcoran (Occupational Therapist) had previously seen the Plaintiff, I felt it important to have a functional capacity evaluation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report at page 22, Mr. Hosking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Jaid demonstrates marked pain behaviour. His subjective reports of pain and function only intermittently correlate with observed behaviours and function. He demonstrated a series of inconstancies between formal testing and testing under distraction. He is therefore considered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Because he was concerned about this observation, Mr. Kancs asked Mr. Hosking to prepare an addendum to address the issue of reliability of the assessment. The addendum was provided on November 28, 2012. In that addendum, Mr. Hosking deals with the issue of reliability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intention of the statements regarding reliability was that Mr. Jaid demonstrated poor reliability in the context of the match between his subjective reports of symptoms and demonstrated objective findings. One component of Mr. Jaid's diagnosis (in the opinion of Dr. Shuckett) is </w:t>
      </w:r>
      <w:r>
        <w:rPr>
          <w:rFonts w:ascii="arial" w:eastAsia="arial" w:hAnsi="arial" w:cs="arial"/>
          <w:i/>
          <w:color w:val="000000"/>
          <w:sz w:val="20"/>
          <w:lang w:val="en-US" w:eastAsia="en-US" w:bidi="ar-SA"/>
        </w:rPr>
        <w:t>chronic pain syndrome</w:t>
      </w:r>
      <w:r>
        <w:rPr>
          <w:rFonts w:ascii="arial" w:eastAsia="arial" w:hAnsi="arial" w:cs="arial"/>
          <w:color w:val="000000"/>
          <w:sz w:val="20"/>
          <w:lang w:val="en-US" w:eastAsia="en-US" w:bidi="ar-SA"/>
        </w:rPr>
        <w:t>. I acknowledge that the diagnosis of chronic pain implies elements of physical and non-physical factors. The observed pattern of unreliability in testing may be linked to non-physical factors. It is beyond my scope of professional expertise to comment or interpret the findings in this functional capacity assessment with regards to non-physical factors. I defer to Mr. Jaid's physicians to comment on non-physical elements of his condition and how it may impact on his performance in testing such as this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Fong for the defendants argues that I ought not to require the defendants to pay for an evaluation during which it cannot be said that the plaintiff tried his best. He says it is incumbent on a plaintiff undergoing an assessment to at least try to do his best. This is of particular import in this case say the defendants where the plaintiff's credibility was clearly at issue as, according to the defendants, the plaintiff had decided he no longer wished to work and was hoping for a finding that the accidents had rendered him permanently disabled thus entitling him to a substantial damages award. Therefore, it was not in the plaintiff's best interests to put forth his best efforts during his assessment by Mr. Hosking.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cannot find, on the evidence before me, whether the plaintiff was simply "phoning it in" or if his lack of effort was instead related to non-physical factors, as Mr. Hosking suggested might be the case in his follow-up report. I am not minded to disallow this report based on the supposition that the plaintiff did not give sufficient effort as there are other, plausible, reasons for Mr. Hosking's findings. Thus the defendants' submissions on this point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Alternatively, the defendants argue that this report was neither necessary nor proper as it had not been established by any of the experts that the plaintiff had suffered a permanent or even a partial disability and that, without such a finding, it was not necessary to commission a functional capacity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true that until Accident No. 3 none of the experts had found that the plaintiff suffered any permanent (or partial) long-term disability. Dr. Riar's reports in respect of Accidents Nos. 1 and 2 both note that the plaintiff's long-term prognosis is favourable. Dr. Cameron and Dr. Robinson both found the plaintiff to be "normal" from a neurological standpoint. Neither of them suggested the plaintiff was incapable of working. Dr. Shuckett commented that the plaintiff appeared to be suffering from chronic pain syndrome but she did not make a finding of permanent or partial disability. In fact, in her report, Dr. Shuckett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see him as being totally disabled in the long term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true that, in general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xml:space="preserve"> (Registrar)):</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Taxing officers ought not to second guess a competent counsel doing a competent job, solely on the grounds that other counsel might have been more sanguine or less cautious in determining how the job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However, it is up to the party claiming the disbursement (the plaintiff in this case) to prove entitlement to a disbursement on a balance of probabilities (see </w:t>
      </w:r>
      <w:r>
        <w:rPr>
          <w:rFonts w:ascii="arial" w:eastAsia="arial" w:hAnsi="arial" w:cs="arial"/>
          <w:i/>
          <w:color w:val="000000"/>
          <w:sz w:val="20"/>
          <w:lang w:val="en-US" w:eastAsia="en-US" w:bidi="ar-SA"/>
        </w:rPr>
        <w:t>Deo v. Chang</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2005 BCSC 1335</w:t>
        </w:r>
      </w:hyperlink>
      <w:r>
        <w:rPr>
          <w:rFonts w:ascii="arial" w:eastAsia="arial" w:hAnsi="arial" w:cs="arial"/>
          <w:color w:val="000000"/>
          <w:sz w:val="20"/>
          <w:lang w:val="en-US" w:eastAsia="en-US" w:bidi="ar-SA"/>
        </w:rPr>
        <w:t xml:space="preserve"> (Registrar)) and to provide evidence to the assessing officer as to why the expense was incurred: </w:t>
      </w:r>
      <w:r>
        <w:rPr>
          <w:rFonts w:ascii="arial" w:eastAsia="arial" w:hAnsi="arial" w:cs="arial"/>
          <w:i/>
          <w:color w:val="000000"/>
          <w:sz w:val="20"/>
          <w:lang w:val="en-US" w:eastAsia="en-US" w:bidi="ar-SA"/>
        </w:rPr>
        <w:t>Guelke v. Hallett</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[1990] B.C.J. No. 1240</w:t>
        </w:r>
      </w:hyperlink>
      <w:r>
        <w:rPr>
          <w:rFonts w:ascii="arial" w:eastAsia="arial" w:hAnsi="arial" w:cs="arial"/>
          <w:color w:val="000000"/>
          <w:sz w:val="20"/>
          <w:lang w:val="en-US" w:eastAsia="en-US" w:bidi="ar-SA"/>
        </w:rPr>
        <w:t xml:space="preserve"> (S.C.). Here, the evidence in favour of a functional capacity assessment was lacking. I reviewed all of the reports and could not find any expert who recommended that the plaintiff undergo a functional capacity evaluation. Mr. Kancs, in his submissions, said that Dr. Riar and Dr. Heran both recommended an occupational therapist. It is true that Dr. Riar made such a recommendation but that recommendation is in Dr. Riar's third report which was completed after the functional capacity evaluation was commissioned. Dr. Heran, in his report dated July 16, 2012, noted that no formal functional capacity evaluation had been performed. He also suggests: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comment with respect to his ability for obtaining gainful employment as well as managing his own domestic and recreational affairs is out of the context of my expertise and better ascertained by someone trained in these areas. I will note, however, with his degree of psychological impairment, a clear capacity evaluation will not be possible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can find no evidence on which to support the commissioning of a functional capacity evaluation. No doubt this report was ordered out of an abundance of caution or zeal and, accordingly, the costs of it are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Gouws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Gouws is an occupational medicine doctor. Because the plaintiff was having difficulty obtaining employment, Mr. Kancs referred the plaintiff to Dr. Gouws to assess the plaintiff's ability to work and what occupations might be available to the plaintiff given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my view, it was excessive and overzealous (see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out of proportion to the expected damages that the plaintiff might expect to be awarded (see </w:t>
      </w:r>
      <w:r>
        <w:rPr>
          <w:rFonts w:ascii="arial" w:eastAsia="arial" w:hAnsi="arial" w:cs="arial"/>
          <w:i/>
          <w:color w:val="000000"/>
          <w:sz w:val="20"/>
          <w:lang w:val="en-US" w:eastAsia="en-US" w:bidi="ar-SA"/>
        </w:rPr>
        <w:t>Stapleton v. Charambidis</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2010 BCSC 1642</w:t>
        </w:r>
      </w:hyperlink>
      <w:r>
        <w:rPr>
          <w:rFonts w:ascii="arial" w:eastAsia="arial" w:hAnsi="arial" w:cs="arial"/>
          <w:color w:val="000000"/>
          <w:sz w:val="20"/>
          <w:lang w:val="en-US" w:eastAsia="en-US" w:bidi="ar-SA"/>
        </w:rPr>
        <w:t xml:space="preserve"> (Registrar), at para. 32) for the plaintiff to engage Dr. Gouws, particularly in light of the fact that Mr. Hosking had already been engaged to do a functional capacity evaluation. In my view, Dr. Gouws added little or nothing to the equation and his fee ought to be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Turning to the report by Derek Nordin of the Vocational Consulting Group, Mr. Kancs advised that he ordered the vocational assessment on the basis of recommendations by Dr. Robinson and Dr. Gouws, as well as his own experience in like matters, that it would be useful to obtain an assessment of the plaintiff's loss of future earning capacity, including issues of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report Mr. Nordin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medical and psychiatric information reviewed, as well as Mr. Jaid's self-report, it is my opinion he is likely not competitively employable in his current physical and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Kancs said that the combined opinions of Dr. Robinson, Dr. Gouws and Mr. Nordin would form the foundation of both a past income loss and a loss of future earning capacity claim, should the matter proceed to trial, especially in front of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Nordin appears to pick up Dr. Cameron's suggestion that the plaintiff might benefit from some psychological counselling and notes that the plaintiff appeared "depressed" at his interview. He also notes, however, that a finding of depression is outside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noted earlier in these reasons, the defendants argue that the plaintiff's case was built on a faulty foundation -- Dr. Cameron's finding that the plaintiff was suffering from PTSD. They also submit that many of the experts appeared to become advocates for the plaintiff and, not only Dr. Cameron, but other of the experts, provided opinions outside their expertise. Accordingly, the defendants submit many of the costs for the experts, including those for Mr. Nordin, ought not to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Wheeldon v. Magee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Master Bouck (as Registrar) reviews the principles to be applied by a registrar on an assessment of costs. She notes that the assessment of disbursements is governed by the provisions of Rule 57(4) (now 14-1(5))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assessing costs under subrule (2) or (3) of this rule, a registrar must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disbursements have been necessarily or properly incurred in the conduct of the proceeding,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Her Honour then notes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Experts' charges may be disallowed or reduced for a variety of reasons, including when: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is unreasonable, compared to the evidence of other similar experts;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expert's report includes, improperly, extensive narrative</w:t>
      </w:r>
      <w:r>
        <w:rPr>
          <w:rFonts w:ascii="arial" w:eastAsia="arial" w:hAnsi="arial" w:cs="arial"/>
          <w:color w:val="000000"/>
          <w:sz w:val="20"/>
          <w:lang w:val="en-US" w:eastAsia="en-US" w:bidi="ar-SA"/>
        </w:rPr>
        <w:t>;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suggested damages reported by the expert are "preposterous" in the view of the court.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Bell v. Fantini (No. 2)</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(S.C.) (see also </w:t>
      </w:r>
      <w:r>
        <w:rPr>
          <w:rFonts w:ascii="arial" w:eastAsia="arial" w:hAnsi="arial" w:cs="arial"/>
          <w:i/>
          <w:color w:val="000000"/>
          <w:sz w:val="20"/>
          <w:lang w:val="en-US" w:eastAsia="en-US" w:bidi="ar-SA"/>
        </w:rPr>
        <w:t>Leverman v. Prince George (City)</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2000 BCSC 697</w:t>
        </w:r>
      </w:hyperlink>
      <w:r>
        <w:rPr>
          <w:rFonts w:ascii="arial" w:eastAsia="arial" w:hAnsi="arial" w:cs="arial"/>
          <w:color w:val="000000"/>
          <w:sz w:val="20"/>
          <w:lang w:val="en-US" w:eastAsia="en-US" w:bidi="ar-SA"/>
        </w:rPr>
        <w:t xml:space="preserve"> for a synopsis of this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It is clear from Master Bouck's comments in </w:t>
      </w:r>
      <w:r>
        <w:rPr>
          <w:rFonts w:ascii="arial" w:eastAsia="arial" w:hAnsi="arial" w:cs="arial"/>
          <w:i/>
          <w:color w:val="000000"/>
          <w:sz w:val="20"/>
          <w:lang w:val="en-US" w:eastAsia="en-US" w:bidi="ar-SA"/>
        </w:rPr>
        <w:t>Wheeldon v. Magee</w:t>
      </w:r>
      <w:r>
        <w:rPr>
          <w:rFonts w:ascii="arial" w:eastAsia="arial" w:hAnsi="arial" w:cs="arial"/>
          <w:color w:val="000000"/>
          <w:sz w:val="20"/>
          <w:lang w:val="en-US" w:eastAsia="en-US" w:bidi="ar-SA"/>
        </w:rPr>
        <w:t xml:space="preserve"> that where an expert opines on matters outside his or her expertise that the charges for that expert may be reduced. It then also stands to reason that where the opinions of other experts are built on the faulty opinion, the costs for such opinions, too, then ought to be reduced or even disallowed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it was neither necessary nor proper to engage Mr. Nordin's services. His opinion was built on Dr. Cameron's "finding" of PTSD at paragraph 22 of his report. Here, in my view, the plaintiff ought to have built his case on Dr. Shuckett's findings as well as those of Dr. Riar and one neurologist. Any additional experts retained ought to have been retained based on what those experts opined in their reports. The plaintiff did not follow that course. Instead, he pursued his case aggressively and overzealously. It was not necessary to obtain a vocational assessment. There is no evidence (except the evidence built on Dr. Cameron's "finding" of PTSD) that the plaintiff needed vocational testing or training. Accordingly I disallow the claim for Mr. Nordin.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Rob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for Mr. Carson's reports on cost of future care and future income loss, Mr. Kancs submitted that, when he sent the plaintiff to see Mr. Carson, the plaintiff was not working. Mr. Kancs believed that it would be important for the purposes of the mediation and to assist the jury in "doing the math" in respect of these costs. Mr. Kancs submits that, as in </w:t>
      </w:r>
      <w:r>
        <w:rPr>
          <w:rFonts w:ascii="arial" w:eastAsia="arial" w:hAnsi="arial" w:cs="arial"/>
          <w:i/>
          <w:color w:val="000000"/>
          <w:sz w:val="20"/>
          <w:lang w:val="en-US" w:eastAsia="en-US" w:bidi="ar-SA"/>
        </w:rPr>
        <w:t>Jalili v. 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registrar allowed the plaintiff to claim the costs of a report by Mr. Carson, the "value-added" by Mr. Carson in this instance would be, as noted, to assist the trier of fact in calculating the costs of the plaintiff's claims. I agree with Mr. Kancs submissions on this point. Where a jury is the trier of fact, it is useful to provide to them some evidence as to how the plaintiff's costs of future care and his future income loss ought to be calculated. It was therefore necessary and proper to obtain this opinion. Further, the costs for it ($1,250) are reasonable and will be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Shirazi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hired an interpreter to assist him at the mediation. He was born in Kurdistan (Iran) in 1963 and came to Canada in 1992 at the age of 29. He completed the equivalents of Grades 1 to 8 in Kurdistan. He then left school and worked in automotive repair in Kurdistan for some time before working with his father in a store owned by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Since arriving in Canada, the plaintiff has worked in a variety of capacities including as a taxi driver, some work in window and door manufacturing, and as the owner/operator of a cleaning business and of a print shop. At some point in his life, he provided services as a translator to new immigrants and for an insurance company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Kancs said that he hired an interpreter to assist the plaintiff at mediation because he felt it was incumbent upon him, as counsel, to ensure that the plaintiff understood the legal issues at stake and the options available in order to provide him with proper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argue that I ought not to allow the cost for the interpreter. Given the fact that the plaintiff himself worked on occasion as an interpreter, it must be said that it was neither necessary nor proper for the plaintiff to engage the services of an interpreter to assist him at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recently had occasion (</w:t>
      </w:r>
      <w:r>
        <w:rPr>
          <w:rFonts w:ascii="arial" w:eastAsia="arial" w:hAnsi="arial" w:cs="arial"/>
          <w:i/>
          <w:color w:val="000000"/>
          <w:sz w:val="20"/>
          <w:lang w:val="en-US" w:eastAsia="en-US" w:bidi="ar-SA"/>
        </w:rPr>
        <w:t>Park v. Koepke</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2013 BCSC 1806</w:t>
        </w:r>
      </w:hyperlink>
      <w:r>
        <w:rPr>
          <w:rFonts w:ascii="arial" w:eastAsia="arial" w:hAnsi="arial" w:cs="arial"/>
          <w:color w:val="000000"/>
          <w:sz w:val="20"/>
          <w:lang w:val="en-US" w:eastAsia="en-US" w:bidi="ar-SA"/>
        </w:rPr>
        <w:t>) to consider the necessity and propriety of a claim by a plaintiff for the costs of an interpreter. In that decision I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It is settled law in this Province that the questions to be answered by a registrar on every assessment of costs in relation to disbursements are first: Was the disbursement necessarily or properly incurred in the conduct of the proceedings? And second, if it was: What is a reasonable amount to allow for such disbursement?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 will start by considering whether it was either necessary or proper for Ms. Park (through her counsel) to have employed the services of a court-certified interpreter for each and every interaction with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As I noted earlier in these reasons, "necessary" disbursements are essential disbursements: disbursements that could not have been avoided in the conduct of the proceeding. "Proper" disbursements are those reasonably incurred in the conduct of the proceeding but which are, strictly speaking, avoidable: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t>
      </w:r>
      <w:hyperlink r:id="rId667"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xml:space="preserve"> (Registrar)]; and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2008 BCSC 916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In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Paul's Restaurant Ltd. (c.o.b. Laurel Point Inn) v. Dunn</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[1996] B.C.J. No. 114</w:t>
        </w:r>
      </w:hyperlink>
      <w:r>
        <w:rPr>
          <w:rFonts w:ascii="arial" w:eastAsia="arial" w:hAnsi="arial" w:cs="arial"/>
          <w:color w:val="000000"/>
          <w:sz w:val="20"/>
          <w:lang w:val="en-US" w:eastAsia="en-US" w:bidi="ar-SA"/>
        </w:rPr>
        <w:t xml:space="preserve"> (S.C.) (Registrar)], Registrar Joyce confirmed that the right to have the assistance of an interpreter is not restricted to testifying at trial. The right is to "have the ability to understand the proceedings". In </w:t>
      </w:r>
      <w:r>
        <w:rPr>
          <w:rFonts w:ascii="arial" w:eastAsia="arial" w:hAnsi="arial" w:cs="arial"/>
          <w:i/>
          <w:color w:val="000000"/>
          <w:sz w:val="20"/>
          <w:lang w:val="en-US" w:eastAsia="en-US" w:bidi="ar-SA"/>
        </w:rPr>
        <w:t>William v. HMTQ</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2007 BCSC 853</w:t>
        </w:r>
      </w:hyperlink>
      <w:r>
        <w:rPr>
          <w:rFonts w:ascii="arial" w:eastAsia="arial" w:hAnsi="arial" w:cs="arial"/>
          <w:color w:val="000000"/>
          <w:sz w:val="20"/>
          <w:lang w:val="en-US" w:eastAsia="en-US" w:bidi="ar-SA"/>
        </w:rPr>
        <w:t>], as noted Registrar Blok refused to accede to the defendant's argument that the costs of out-of-court interpreters generally ought to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note that in his report, Mr. Nordin found that the plaintiff demonstrated weak academic skills; scoring at a less than Grade 7 level for all areas, including word reading, sentence comprehension, spelling and reading composition. In my view, that is indicative of the fact that the plaintiff was not capable of understanding all of the intricacies of the mediation, and therefore it was important (necessary and proper) that the plaintiff have the assistance of an interpreter at the mediation. I agree with Mr. Kancs' submission that it was essential for the plaintiff to understand the happenings at the mediation; particularly all of the legal issues, and that he be able to provide appropriate instructions to his counsel. That would be difficult for him given his level of education and understanding of English. It is one thing to assist new immigrants to this country as a volunteer and quite another to be able to understand legal concepts and make crucial financial decisions under the pressure of mediation. I am also satisfied that the amount charged by the interpreter ($265) is reasonable and I will allow the cost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Of those disbursements that were disputed, I have allowed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5677"/>
        <w:gridCol w:w="351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Description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1"/>
        <w:gridCol w:w="1961"/>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Rob Carson reports re: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 and Future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Loss dated March 27, 2013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1"/>
        <w:gridCol w:w="1961"/>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Kulwant Riar, Psychiatrist: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$9,450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4809"/>
        <w:gridCol w:w="167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IME Report dated July 26, 2009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
        <w:gridCol w:w="237"/>
        <w:gridCol w:w="4335"/>
        <w:gridCol w:w="1858"/>
        <w:gridCol w:w="3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Follow-up Assessment dated</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17, 2011</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($3,250)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5123"/>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Updated Report dated April 2, 2013</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1"/>
        <w:gridCol w:w="1961"/>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Donald Cameron, Neurologist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470"/>
        <w:gridCol w:w="1651"/>
        <w:gridCol w:w="3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Gurdeep Parhar, family physician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
        <w:gridCol w:w="238"/>
        <w:gridCol w:w="3612"/>
        <w:gridCol w:w="2580"/>
        <w:gridCol w:w="3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Report</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May 5, 2011</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
        <w:gridCol w:w="237"/>
        <w:gridCol w:w="4026"/>
        <w:gridCol w:w="2167"/>
        <w:gridCol w:w="3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Updated Medical Report</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March 5, 2013</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367"/>
        <w:gridCol w:w="1755"/>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CMI (Canadian Magnetic Imaging)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MRI exam April 20, 2011</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$995</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058"/>
        <w:gridCol w:w="2064"/>
        <w:gridCol w:w="30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Bahman Shirazi, Interpreter,</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 attendance at mediation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3922"/>
        <w:gridCol w:w="3199"/>
        <w:gridCol w:w="30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$18,960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leave it to the parties to work out the mathematical results of these reasons. If the parties are unable to work out the mathematical results or need additional input from me, they are welcome to set this matter before me for finalization and for the signing of a certificate if so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K.S. SAINTY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Khairati v. Prasad, [2002] B.C.J. No. 513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11 - 15, 18 - 22, 2000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March 1, June 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July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B933991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513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360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Mahar Angej Khairati, plaintiff, and Abhinesh Mohan Prasad and Rattan Mohan,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5" w:name="Keywords_24"/>
      <w:bookmarkEnd w:id="165"/>
      <w:r>
        <w:rPr>
          <w:rFonts w:ascii="arial" w:eastAsia="arial" w:hAnsi="arial" w:cs="arial"/>
          <w:b/>
          <w:color w:val="000000"/>
          <w:sz w:val="20"/>
          <w:lang w:val="en-US" w:eastAsia="en-US" w:bidi="ar-SA"/>
        </w:rPr>
        <w:t>Damage awards — Injury and death — Continuing pain (incl. myofascial and chronic pain injury) — Mitigation.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6" w:name="Case Summary_24"/>
            <w:bookmarkEnd w:id="1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Khairati against Prasad arising from an automobile accident. Khairati was stopped to turn left when she was struck by behind. Prasad admitted liability. At issue was the character of her injuries and their severity, the causation of her complaints, mitigation, and damages. After the accident, Khairati was diagnosed with soft-tissue injuries. She had previously been a happy useful person, good mother and wife, and successful employee. She suffered from a Somatoform Pain Disorder, or a Somatization Disorder, and major depression and had done so for years. Khairati had been unable to work since 1994 and would likely be unable to work in the future. She had constant pain and was now mostly bedridden. She had aged prematurely and had lost her sense of smell and taste. She did not interact with her children. She had a pregnancy that aggravated her condition. She had foregone some treatment that would have helped her because it increased her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7" w:name="Holdings of Court_20"/>
            <w:bookmarkEnd w:id="16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Khairati's symptoms were not under her voluntary control. Her pain was caused by mental and psychological factors. Her pre-existing complaints made her vulnerable for developing chronic pain. The soft tissue injuries sustained in the accident set in motion her current condition. She did not have the capacity to make a reasonable choice in respect of treatment and thus did not fail to mitigate her damages. She was awarded $125,000 for non-pecuniary damages, $161,944 for past income loss, $459,626 for future income loss, $39,454 for special damages, and future care costs to be determined.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Counsel_24"/>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Mohamedali and M. Sporer, for the plaintiff. C. Hickey and D. Milroy,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24"/>
      <w:bookmarkEnd w:id="169"/>
      <w:r>
        <w:pict>
          <v:line id="_x0000_s1152"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COULTAS J."/>
            <w:bookmarkEnd w:id="170"/>
            <w:r>
              <w:rPr>
                <w:rFonts w:ascii="arial" w:eastAsia="arial" w:hAnsi="arial" w:cs="arial"/>
                <w:b/>
                <w:color w:val="000000"/>
                <w:sz w:val="30"/>
                <w:lang w:val="en-US" w:eastAsia="en-US" w:bidi="ar-SA"/>
              </w:rPr>
              <w:t>COULTAS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 N D E 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PRE-MORBID PROFILE OF PLANTIFF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WORK HISTORY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POST ACCIDENT PROFILE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PRE-MORBID MEDICAL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EXTRACTS FROM DSM-IV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POST ACCIDENT COMPLAINTS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AULAKH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(FINDINGS OF FACT AND 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(FINDINGS OF FACT AND 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HERSHLER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REEBYE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DAVID CHAN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JOY'S SUMMARY OF MEDICAL ASSESSMENT AND MY COMMENTS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CARRUTHERS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REEYBE'S SECOND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SOLYOM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SHOJANIA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JANKE'S SECOND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ANDERSON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SCAMVOUGERAS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TRIAL EVIDENCE AND FINDINGS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 AND FINDINGS OF FACT IN RESPECT TO PREGNANCY, CAUSATION, MITIGATION AND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AWARDS OF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AWARDS OF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9, 1992, Mahar Khairati, the plaintiff, was driving her car to her home in Delta and stopped at the intersection of Scott Road and 82nd Avenue in Delta intending to turn left, when her car was struck from behind by a car driven by the defendant Abhinesh Prasad and owned by Rattan Mohan. The plaintiff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for the collision ("accident") is admitted by the defendants. There are no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 seat 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she has suffered such pain for the last ten years that it has destroyed all her pleasures of living and has seriously affected the lives of her husband and children. She attributes the pain and the manifold symptoms she suffers to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character of her injuries and their severity is the first issue.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second issue is the causation of her complaints -- emotional, cognitive and psychological injuries and whether they have been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issue is mitigation and the fourth 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Carole Hickey, senior counsel for the defendants, suggests that various explanations for the plaintiff's present disabling condition may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 traumatic fibromyalgia; chronic pain secondary to soft tissue injuries; mid to moderate soft tissue injuries with an overlay of depression; Major Depression with a psychotic component; primary hypothyroidism requiring therapy; secondary gain; malingering.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To that summary, I add, possible exaggeration of symptoms, the effect of a pregnancy resulting in the birth of her fourth child in early January 1995 and her motivation to get well.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the pregnancy has been the cause of her depression and chronic pain and it constitutes an independent intervening cause for her dramatic complaints. The defendants say, also, the complaints stem from a desire on her part for such things as sympathy, attention and/or compensation, because she wishes to have them and does not wish them to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is a difficult case. Counsel have found it difficult to present and to argue for the plaintiff presents with very unusual symptoms, given the character of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Over the years she has been assessed and/or treated by many medical professionals: psychiatrists, psychologists, physiatrists, general practitioners, massage, physiotherapy and chiropractic professionals. She spent ten days at UBC Hospital psychiatric unit for assessment and she has taken counselling at the office of Dr. Chan, a psychologist. Some doctors testified at trial. The Clinicals and Reports of many others who did not testify, have been referred to in evidence and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counsel has prepared a chronology of medical Reports and Clinicals, consisting of 203 typed pages. Nine volumes of transcripts --the evidence of the plaintiff and some medical witnesses have been provided. But for them, the trial would have taken up 20 days or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some exceptions, I shall attempt not to quote ad nauseam from the voluminous evidence and for convenience I shall "direct quote" the conclusions of medical people who assessed the plaintiff rather than summarizing their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reviewing medical evidence of each expert I shall not comment upon that evidence or make findings of fact upon it, until my Conclusions which will incorporate findings of fact. I shall, however, make certain findings of fact in respect to the plaintiff's credibility on certain matters during the course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keep the voluminous evidence in some manageable order, I shall refer to the evidence of the medical professionals according to the date the plaintiff was seen and they reported. If I depart from that practice I shall say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add a word of caution - I shall relate extensively the Clinicals of Dr. Aulakh, the plaintiff's family doctor for the period 1990 - 1995, first, because the defendants submit that the plaintiff's principal difficulties arose when she became pregnant in 1994, thus her medical condition before and after the accident and before the pregnancy, is important. Second, I shall relate his Clinicals because many of the complaints she related to Dr. Aulakh, she related to many others assessing her condition and I shall not repeat her complaints given to each and every doctor who assessed her. If the complaints she made to others are much the same as she gave to Dr. Aulakh I shall say "usual complaints". If she related complaints not given to Dr. Aulakh, I shall note them as "fresh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most part I shall not relate the history that the plaintiff gave to doctors who assessed her, I shall not relate the physical examinations they conducted or the results of their examinations. Despite omitting these matters, these Reasons are long and will, I fear, lead a reader to understand the meaning of "eternity".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came to a stop intending to turn left into a shopping mall. She glanced left and her car was struck without warning, from behind. Her body was restrained by a lap/shoulder assembly. The back of her head struck the headrest, I find there is no reliable evidence that any other part of her body came in contact with other parts of the vehicle. The plaintiff does not allege a head or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impact she used her cellular phone to call the police, who attended. An ambulance was not called, she did not go to hospital. She was at the accident scene about 30 minutes. She drove herself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damage to her vehicle was in the area of the left rear light and left trunk area. The total cost of repair was $2,800 including PST and GST. Photographs of vehicle damage suggest the defendant's vehicle sustained greater damage but there is no evidence of the cost of its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PROFILE OF THE PLAINTIFF BEFORE THE 1992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was born to the Usmans in Fiji on December 1st 1961. She is 40 years of age. She was four brothers and two sisters; she is the second youngest child. She lived in Fiji until the Usman family came to Canada when she was 12 years old. Her childhood was happy and uneventful. All her siblings are married with children. She has one brother who remains in Fiji. She, and all her family, are devout Muslims.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attended school in Vancouver and Richmond. She was a Grade "C" student, socially active, and did not work hard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age 19 in May 1981, she was married to Firoz Khairati. The marriage was arranged and by all accounts the plaintiff and her husband have been happy together. They have four 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Faris born September 12, 1982;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Farhaad born November 1985;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Farhaan born July 1988;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Farhaaz born January 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Her first three sons were planned conceptions, the fourth, Farhaaz, was not, his conception was an accident. After the third birth, she and her husband practiced birth control and used contraceptives. They hoped to have a girl eventually and she spoke with her family doctor, Dr. Aulakh, about tubalization; he told them it was an irreversible process and they decided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births of her first three sons were normal without any complications. After their births she took maternity leaves and then returned to the workplace. She did not suffer depression before the births of her first three sons and did not experience post-partum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Until 1992 she was actively involved with her sons' various activities - hockey, soccer, karate,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family took many camping trips, day trips to parks and beaches; they tented. They drove to California frequently for Mr. Khairati's parents live there. They attended many parties, weddings, and gatherings religious and secular at the mosque. The Usman family is a large and united family and they socialized frequently. Her father, a brother and a sister, testified and described her as a happy, active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Photographs taken before the accident reveal that she was a slim lovely looking woman who dressed attractively. She enjoyed sewing and made her own clothes. She gardened, went to the spa, swam, attended exercise classes and kept herself trim; the photographs show that she was slim and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and her husband were compatible sexually and engaged in intercourse four or five times weekly. They both wished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were doing well financially - both worked. Mrs. Khairati was earning $32,448 yearly. Mr. Khairati has been a courier for years owning his own vehicle, making good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commenced working in 1984 and thereafter until August 1994, worked as a freight forwarder/cargo agent for various firms. In the years 1988-1991 she worked for Cottrell and then All World Shipping Ltd. until her job became redundant when the company amalgamated, and she lost her job in October 1991. She did not work in 1992 but from September to March 1993 took a course sponsored by Resource Works, an Employment Canada program and graduated. In March 1993 she rejoined All World Shipping Ltd. working full time as a freight forwarder, until she left her job in August 1994, for health reasons. She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Letters from Cottrell, All World Shipping and Cole McCubbin record that she was a dedicated, capable employee, liked by her fellow employees. A letter written in 1997 by Icecorp, successor to All World Shipping, expresses regret that she left in 1994 for she was considered knowledgeable, reliable and dedicated. She testified and has told others that she enjoyed her work and hoped to return when her health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POST ACCIDENT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accident she returned to work on March 9, 1993 and continued until August 24, 1994. Her physical problems, which she attributes to the 1992 accident, did not leave her during that time. She developed psychological problems which I shall relate in a separate Part. She learned she was pregnant in late May 1994 and stopped taking prescription medications and her pain increased. After the birth of her fourth child in January 1995, her health further deteriorated and she became, in all respects, an invalid and has remained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Mohamedali, the plaintiff's senior counsel accurately summarized her physical and psychological condition as it is, writing:</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now extremely deconditioned, her left-sided pain is constant, she uses a cane to walk which she can do very little and she is profoundly depressed.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mostly bedridden, more often than not being in or on her bed 22 out of 24 hours a day.</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lost her sense of smell and taste.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aged and is no longer pretty or trim.</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no longer wears any of her attractive clothes. She wears clothes that are put out for her to wear.</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look after her children or interact with them. She does not attend any of their events.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husband has stood by her but surely at a big price. He is overworked having to work harder and longer hours and has had to manage the welfare of the children by himself, with full time help.</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financial position cannot be healthy.</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disability pension that the plaintiff receives from Canada Pension goes towards payment of a permanent caregiver.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cannot drive or go anywhere by herself. All her previous pleasures - picnics, parties, participating in family life and her children's activities have been foreclosed.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cannot go for a walk.</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no longer has the enjoyment that her employment provided.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chronic pain hangs like a pall over the entire family, her siblings, parents, husband and children.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To that list, I add - sexual relations have decreased in frequency to about once monthly because she is in such pain during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critical question is why she is so restricted and has been in so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PRE-ACCIDENT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 youngster she had allergies and it appears that she was still susceptible in 1990, according to her physicians' clinicals. She suffered headaches and was treated for them at the UBC Medical Clinic. These ended after her second child was born. She was injured in a motor vehicle accident in about 1982, when a car in which she was a passenger, was rear-ended. She suffered neck and back problems that continued for about five years. She did not suffer those symptoms in the five years before the 1992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Rai was her family doctor in 1990 whom she saw on 15 occasions between April and December 4, 1990 with various physical complaints which he treated. I conclude he was treating her for a "general medical condition" which does not appear to have been psychologically related. On September 24, 1990 she complained of feeling "general weakness and tiredness". Dr. Rai noted "Rule out anemia and hypothyroidism". He had her tested and her thyroid was normal. I find her complaints on September 24th, 1990 may have been stress induced but I cannot find it with any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10th, 1990 she commenced seeing Dr. Aulakh, a general practitioner who remained her family doctor for some years. Dr. Aulakh's Clinicals from December 10th, 1990 and onwards are very difficult to read and I rely on the typed summary of his clinicals prepared by defendants counsel. Mr. Mohamedali does not quarrel with that summary which reads in part, subject to my editing,: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3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w:t>
            </w:r>
          </w:p>
        </w:tc>
        <w:tc>
          <w:tcPr>
            <w:tcW w:w="911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December 10th -- sore throat, cough, sneezing, allergic.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diagnosed acute respiratory infection and prescribed antihistamine and antibiotic 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3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911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January 9th - Dr. Aulakh made a house call for the plaintiff was complaining of severe low back pain. He wrote "query strain". He prescribed Robaxisal, a muscle relaxant. (The same medication is referred to by many medical people, but often as Roboxacet).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May 8th - Dr. Aulakh noted "No further dizziness. Pregnancy tests negative. Abdomen clear.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May 16th - Dizziness, nausea, no headaches, insomnia, appetite bad. Neurology (unclear). Pupils equal and reactive to light. He ordered a complete blood 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May 21st - Acute pharyngitis and prescribed Amoxil.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August 28th - Numbness left arm. Dizzy, vomiting, O/E motor normal left arm. Dr. Aulakh examined her chest and abdomen, listened to her heart beat. Blood pressure 110/65. He reassured 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September 3rd - Dizziness, vomiting. Lost a few pounds. Sleep check. Left arm numbness. No headaches. He prescribed a medication Stemetil [antipsychotic].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3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911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January 29th - Sore throat, fever, hot, wants tubal (ligation). He counselled her, prescribed antihistamines and noted "pregnancy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April 1st - Sore throat, no fever, cough. Acute pharyngitis. He prescribed Amoxil.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July 22nd - Sore throat, no fever, cough. He noted acute upper respiratory infection and prescribed Amoxil.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also sought treatment from Dr. Sidhu, a physician at a walk-in clinic close to her home. Dr. Sidhu examined her on October 26th, 1992. He noted epigastric pain, no nausea, no vomiting, for three months. On examination he found tender epigastrium. He prescribed Tagamet.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some of the physical symptoms she complained of to Dr. Aulakh in the pre-accident period were stress related. At trial she said so. She was experiencing stress in 1991 for she was transferred to another job which did not please her and she was eventually laid off in October 1991. She testified that some of her physical complaints in 1991 were related to stress. Her complaints of left arm numbness, dizziness, sleeplessness, nausea and vomiting were complaints that she was to have after the accident. Mr. Mohamedali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readily conceded that a number of her pre-accident complaints show somatization of emotional upset or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Because the defendants say that her pregnancy was an intervening separate cause of her physical and psychological problems and they are not related to the accident, I shall relate the post-accident problems before and after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DIAGNOSES ACCORDING TO THE DSM-IV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the medical reports and at trial psychologists and psychiatrists gave their diagnoses using terms contained in the fourth publication of the American Psychiatric Association's Diagnostic and Statistical Manual of Mental Disorders, or DSM-IV, which some witnesses have described as the "bible".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will be useful at this point to refer to that publication which describes mental disorders. The following is taken verbatim from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SOMATOFORM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feature of the Somatoform Disorders is the presence of physical symptoms that suggest a general medical condition (hence, the term somatoform) and are not fully explained by a general medical condition, by the direct effects of a substance, or by another mental disorder (e.g. Panic Disorder). The symptoms must cause clinically significant distress or impairment in social, occupational, or other areas of functioning. In contrast to Factitious Disorders and Malingering, the physical symptoms are not intentional (i.e. under voluntary control). Somatoform Disorders differ from Psychological Factors Affecting Medical Condition in that there is no diagnosable general medical condition to fully account for the physical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Somatoform Disorders are included 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Somatization Disorder (historically referred to as hysteria or Briquet's syndrome) is a polysymptomatic disorder that begins before age 30 years, extends over a period of years, and is characterized by a combination of pain, gastrointestinal, sexual, and pseudoneurological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 Features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feature of Somatization Disorder is a pattern of recurring, multiple, clinically significant somatic complaints. A somatic complaint is considered to be clinically significant if it results in medical treatment (e.g. the taking of medication) or causes significant impairment in social, occupational, or other important areas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Somatization Disorder is a chronic but fluctuating disorder that rarely remits completely. A year seldom passes without the individual seeking some medical attention prompted by unexplained somatic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Disorder is characterized by pain as the pre-dominant focus of clinical attention. In addition, psychological factors are judged to have an important role in its onset, severity, exacerbation, or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 Features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feature of Pain Disorder is pain that is the predominant focus of the clinical present-ation and is of sufficient severity to warrant clinical attention (Criterion A). The pain causes significant distress or impairment in social, occupational, or other important areas of functioning (Criterion B). Psychological factors are judged to play a significant role in the onset, severity, exacerbation, or maintenance of the pain (Criterion C). The pain is not intentionally produced or feigned as in Factitious Disorder or Malingering (Criterion D). Pain Disorder is not diagnosed if the pain is better accounted for by a Mood, Anxiety, or Psychotic Disorder, or if the pain presentation meets criteria for Dyspareunia (Criterion E). Examples of impairment resulting from the pain include inability to work or attend school, frequent use of the health care system, the pain becoming a major focus of the individual's life, substantial use of medications, and relational problems such as marital discord and disruption of the family's normal lifestyle.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Factitious Disorder With Predominantly Physical Signs and Symptoms and Malingering, somatic symptoms may be intentionally produced to assume the sick role or for gain, respectively. Symptoms that are intentionally produced should not count toward a diagnosis of Somatization Disorder. However, the presence of some factitious or malingered symptoms, mixed with other nonintentional symptoms, is not uncommon. In such mixed cases, both Somatization Disorder and a Factitious Disorder or Malingering should be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POST-ACCIDENT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reported diverse symptoms before and after pregnancy to a host of medical people and I shall now consider that evidence, seriatim, according to person and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AULAKH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Aulakh has written two Reports and I shall edit and summarize the plaintiff's complaints, his treatment and his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REPORT -- February 9, 1994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Report encompasses his treatment of the plaintiff from December 10, 1992 to January 8, 1994, before she became pregnant. Dr. Aulakh saw the plaintiff the day after the accident and her chief complaints were: --dizziness, neck pain, back pain, chest pain, left arm pain, numbness left arm. Dr. Aulakh found her neurological examination to be unremark-able. She had a sore chest wall and neck muscle tenderness, without spasm. He sent her for chest, cervical spine x-rays which on December 10th, were normal. He prescribed Toradol to be taken daily. He next saw her on December 31st, 1992 and she complained that her pain was getting worse and she now had pain in her left leg. Again, Dr. Aulakh found no neurological problem. He sent her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January 9th, 1993 she complained of pain all over, low back radiating to her left thigh and very tender with painful and limited range of motion, left lower limb. He advised her to continue with physiotherapy and again prescribed medication for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January 19th, 1993 she complained of pain in neck, left arm, shoulder and left leg. On examination, he found tender muscles and painful and slightly restricted R.O.M. in cervical spine. He does not mention palpation, up to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Aulakh did not see the plaintiff from January 19th to April 1st, 1993 and thought her problems had resolved. She had returned to work on March 9th,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April 1st she complained of neck and leg pain and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considered mostly muscular (soft tissue) in nature and she was sent back for physiotherapy and exercises and given Robaxisal.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1st, 1993 Dr. Aulakh noted "On physiotherapy". She complained of headaches, left side neck pain and stiffness off and on and slight limitations of R.O.M. to the left. He again prescribed Toradol, Robaxisal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next seen on June 30, 1993, Dr. Aulakh noted she told him that she was still going for physiotherapy at Delta Physiotherapy and had headaches, left side neck pain and leg pain.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showed very little in the way of examination except tenderness and she was advised to do exercise and physiotherapy. At that point she was also becoming forgetful and her memory was not 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July 19, 1993 he noted "working full time". She complained of neck pain, headache with some tenderness and mild restriction of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Next seen on October 16, 1993, she complained of pain left side all the time and left knee and back pain. His exam-ination proved normal except for tenderness of cervical spine with some restriction of R.O.M. and tenderness of "lower limb". He advised exercises and gave her a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8, 1994 she was still complaining of left side upper and lower limb pain, headache. He found mild tenderness on left side of her body, and good R.O.M. and advised her to carry on with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emphasized her reports to Dr. Aulakh about physiotherapy and the constant references to his advice to take exercise, given on six separate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AULAKH'S SECOND REPORT - AUGUST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Report he speaks of a report sent to the plaintiff's solicitor in August 1994. That Report is not in evidence and I rely on his clinical notes which reveal on February 7, 1994 he advised the plaintiff to take massage therapy. On March 31st he prescribed Tylenol 3. On July 2nd, 1994 he prescribed Amoxol. On July 18th, 1994 she was complaining of headache, vision. He wrote "query - retinal detachment". On July 19th he recorded an eye medication and that he would make an appointment for her to see Dr. Demko, an ophthalmologist, and a Dr. Tessler,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pass now to his second Report of August 1997 where he relates his visits with her after July 19th, 1994. By then she was pregnant. On August 24, 1994, the date she left her employment, she complained of left side headache, difficulty seeing properly. Dr. Aulakh noted that she was seen by Dr. Demko on July 20th with this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eye soreness since MV accident, as presented by the patient. Dr. Demko's diagnosis was low grade non-specific Conjunctivitis and medication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pause to say that if the plaintiff had been suffering left eye soreness since the motor vehicle accident, she had not said so to Dr. Aulakh who had been treating her. She complained of it frequently,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October 17th, 1994 she complained of headaches, left-sided back pain and neck pain with tenderness. She was reassured and again advised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fourth child, Farhaaz, was born on January 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Continuing with Dr. Aulakh's Second Report, on January 27, 1995 she again complained of left knee and left shoulder pain and headache. Again she was advised "Active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March 22nd, 1995 she was complaining of left leg pain saying "It falls asleep", she was finding it hard to walk, and slept poorly. Dr. Aulakh prescribed medication and referred her to Dr. Shahid, an orthopaedic surgeon. On May 26th, 1995 she was again complaining of low back and left leg pain. Dr. Aulakh found no obvious pathology and she was again advised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July 8th, 1995 Dr. Aulakh noted that she had seen Dr. Hershler and had been referred to a chiropractor. He prescribed plain Tylenol for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July 15th, 1995 she told Dr. Aulakh she was going to a chiropractor and complained of neck, low back, left shoulder pains and left arm weakness. He referred her to the Vancouver Pain Clinic. On October 17th, 1995 she had complaints of persistent pain in her lower back, left shoulder, left hip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3rd, 1995 on her last visit to Dr. Aulakh she was complaining of "multiple aches and pains, neck and back and left leg." She told him she had to walk on crutches and there had been no improvements. She said her head "goes numb and freezes up". He noted headaches, poor sleep, and "Dr. Hershler has advised home physio and she is unable to drive." Patient was referred to Dr. Shahid and x-rays of cervical spine on October 17th, 1995 showed no abnormality, her lumbar spine was normal also. That was Dr. Aulakh's last visit with Mrs. Khairati for she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Aulakh referred her for physiotherapy in early January 1993. She took treatments at Delta Physiotherapy - seven in all, on January 11th, 13th, 14th, February 1st and April 8th and 9th, all in 1993. On January 11th at her first session the physiotherapist Clinicals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worsening. Left arm pain constant, all five fingers. Left leg pain, low back, left buttock front of leg, all five toes constant. Walking worse than sitting, sleep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examination, the physiotherapist found her lumbar R.O.M., very limited, flexion/extension demonstrated. She treated her with ultrasound and recommended ice. She also recommended correct sleeping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January 13th she reported she slept with the bolster as the physio had recommended and her sleep was much improved. No change with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January 14th the physiotherapist noted "low back pain improving, unable to tolerate manual treatment. TNS,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January 18th she did not attend. The physiotherapist noted on that date that at the time of her last treatment "patient's back, left leg pain were significantly improved and she had been doing a general lumbar stretching at home." I suspect that the physio's note of improvement was based on the plaintiff's subjective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attended again on February 1st and the physio noted "doesn't tolerate assessment, tightens when touched. Cannot do manual treatment". The plaintiff was advised to do exercise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February 24th, 1993 the physio noted "moving well, local hypertonicity cervical, thoracic region" and advised her to continue with exercises on her own and on April 5th she was again advised to continue with exercises. The clinical note of her last attendance on April 19th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 OF FACT AND CREDIBILITY WITH RESPECT TO THE DELTA PHYSIOTHERAPY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treatments, at times gave her some pain relief in her back and left leg. She did not persevere with them. The report she gave to Dr. Aulakh about the frequency of her physiotherapy treatments was not true. On May 1st and June 30th she told Dr. Aulakh she was still going for physiotherapy at Delta, in fact the last physiotherapy treatment had been April 19th, 1993. Under cross-examination she could not remember what she had related to Dr. Aulakh about continuing the physiotherapy but denied lying to him. I find she consciously misled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took further physiotherapy treatments on a referral by Dr. Hershler at Hazelwood Physiotherapy - only two treatments, the first on May 3rd and the second on May 5th, 1994. She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June 14th she was seen by Dr. Reebye whose Report I shall relate later. However Dr. Reebye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started program in Hazelwood Physiotherapy where they taught her a lot of exercises, different exercises for her arms and exercises to improve her posture, relieve the pain in her left thigh and low back, balancing exercises, walking and movement to protect her back. </w:t>
      </w:r>
      <w:r>
        <w:rPr>
          <w:rFonts w:ascii="arial" w:eastAsia="arial" w:hAnsi="arial" w:cs="arial"/>
          <w:color w:val="000000"/>
          <w:sz w:val="20"/>
          <w:u w:val="single"/>
          <w:lang w:val="en-US" w:eastAsia="en-US" w:bidi="ar-SA"/>
        </w:rPr>
        <w:t>She was attending every other day and has discontinued over the last three weeks as her therapist is away. She plans to start again this week, once a week</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information she gave to Dr. Reebye was untrue for she had attended only twice, last on May 5th , 1994 and there is no reference in Hazelwood's clinical notes that her therapist was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Report of Hazelwood Physiotherapy of May 18th, 1995, notes the plaintiff told them she had attended physiotherapy for about six weeks to two months - she attended, in fact, for seven sessions. She also reported having massage therapy for two weeks. She told the physiotherapist that Dr. Hershler had recommended aggressive physiotherapy and massage. Hazelwood concluded its Report writing that treatment on May 3rd consisted of lower extremity isometric exercises and electric muscle stimulation and had been given instruction for home exercise. Hazelwood concludes its Report,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Secondary to Ms. Khairati's limited physiotherapy attendance and my incomplete evaluation of her problems, I am unable to form any diagnosis or prognosis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MASSAGE THERAPY - FINDINGS OF FACT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Referred by Dr. Hershler, she took massage therapy from Julie Bonthoux on April 21st, 22nd, 26th, 28th, May 10th and 17th, 1994 - six treatments in all. I shall not refer to the clinical notes of Mrs. Bonthoux. Some of the plaintiff's complaints she noted were fresh, e.g. left teeth, and eye pulsates with sharp pain in it, left abdomen. She also spoke of 'similar'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Some improvement was noted in the massage therapist's clinicals; at the final visit of May 17th the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getting relief one day after my treatments. Recommend physiotherapy twice a week, massage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suspect that the massage therapist's note of May 17th was based on the plaintiff's subjective report. On May 31st she cancelled her appointment and she did not attend appointments on June 9th and 14th,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she gave false information about massage to Dr. Reebye on June 14th for his Report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(Massage) was started every other day about two months ago. She received massage to her neck and gets relief from her neck stiffness and some massage at the back of her chest. The massage also gives her relaxation on the left side of her head. Massage to her back relieves the pain in her leg. However it is quite expensive and costs her $30 each visit. She is presently attending once a week, on the advice of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gave Dr. Reebye the impression that she had been attending massage much more frequently than she had been and was still attending once a week. Neither was true, and I find that it was deliberately untrue. It should be recalled that when she gave incorrect information about physiotherapy to Drs. Aulakh and Reebye, she was working and did not have the severe depression that others found, at later times. The benefits of massage that she reported to Dr. Reebye, she did not report to the massage therapist for it is not found in the clinicals. On April 28th the therapist noted "Relief from treatment is short term so far", and she noted "Still same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was referred to Dr. Hershler by her lawyer, not by Dr. Aulakh. Dr. Hershler is a specialist in Physical Medicine and Rehabilitation. His first Report is dated November 11th, 1993. He saw her on November 2nd, 1993 when she was working and was not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Hershler wrote of her complaints and history and I summarize: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11-month history since the motor vehicle accident of pain, numbness and tingling along the entire left side of her body;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loss of memory;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has affected her ability to work at home. Plates slip out of her left hand. Pain is present all the time to the point she has had to hire a worker to help her with cooking and cleaning;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on left side of her body, particularly in the hip area has affected the physical aspects of her marriage relationship;</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ability to function fully at home and in her marriage has increased the stress at home and on her children;</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occasionally she limps on her left leg and intermittently the left knee gives out;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elected to return to work in March 1993 in spite of pain to give her some physical activity as she was unable to cope with the demands of her children and housework when at home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told Dr. Hershler that she believes she "blanked out" for approximately five minutes after the impact. That is not what she told many others. She told him that in the first three months after the accident she went to physiotherapy twice weekly and received heat as well as various electrical treatments and massage. That information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told Dr. Hershler that the physiotherapy was helpful even if only on a temporary basis and finds that her showers give some temporary relief. She told him that she continued to walk as much as she could for exercise and averages one hour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physical examination, she appeared slim, able to walk into the interview room unaided. She answered appropriately and in a straightforward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EXAMINATION BY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Hershler wrote that on examination movements of her spine were severely limited because of pain. She was hardly able to flex forward voluntarily more than 30% of her lumbar flexion range because of pain in the lower back and was similarly inhibited with respect to lateral bending and extension. Movements of her cervical spine were limited to not more than 30% of the range in any direction because of pain as well as having a "heavy" feeling in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Palpation of the spine revealed generalized tenderness in the cervical, thoracic and lumbar regions. Palpation of the musculature revealed extremely tight in de-conditioned neck and shoulder muscles and tender muscles generally along the left side of her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Under neurological examination, he found she was persistently weak with testing of muscles on the left side of her body, apparently due to pain. Her tendon reflexes and tone were normal but sensation was subjectively decreased on the left side of the body including the face, trunk, arm and leg compared to the right. She had difficulty standing on her left leg and had difficulty even sitting in the chair and raising her left leg against gravity. He found the rest of the physical examination was within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HERSHLER'S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found the history and physical examination were consistent with significant musculo - ligamentous injuries to the entire spine, muscle tenderness, tightness, deconditioning and shortness predominantly in the left-sided muscles of the body. Because of the chronic pain she has developed inappropriate postures and does not use the left side of her body effectively during day to day activity. This has led to a vicious cycle whereby the pain is enhanced by de-conditioning and weakness, predominantly on the left side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also, subjectively, has noticed difficulties with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concluded that all of these symptoms are a direct result of the motor vehicle accident on December 9th,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HERSHLER'S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His prognosis at this stage was "extremely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wrote, Mahar Khairati (plaintiff) is in need of an aggressive physiotherapy and massage therapy program. This should focus on stretching the de-conditioned muscles and encouraging her to stretch and strengthen the weakened muscles on the left side of her body. This has to be done under supervision as it is not sufficient to just leave her alone as she is developing poor postural habits and this will ultimately lead to shortening and contractures on the left side of her body. Already she has problems with her left knee because of weakness in the thigh muscles of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to massage therapy and physiotherapy, she will need a trial of different pain control measures to help her break through the pain cycle. These could include acupuncture as well as chiropractic.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would envisage her being in such a program for at least six to twelve months and should then be in a position to be more definite with regard to her long 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despite his recommendation for aggressive physiotherapy and massage in November 1993, the plaintiff did not take any new physiotherapy until May 3rd and 5th 1995 and took no more, and did not take massage therapy until April 22nd, 1994 and took but six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Hershler has written nine separate Reports in this case, including this Report and I shall later refer to his subsequent Reports. He saw her over a six-year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N.K. REEBYE - DEFENDANT'S MEDICAL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sent the plaintiff to see Dr. Reebye, a specialist in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saw the plaintiff on June 14th, 1994 for the purpose of preparing a medical report to send to the defendant's solicitors. His Report is dated June 14th, 1994. She was pregnant when he assessed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reported the usual physical symptoms with these fresh complaints: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arm and leg feel numb when tries to sleep;</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over her left breast;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left groin, especially painful during sexual intercourse;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 and feels like vomiting but does not. This has been the same since the accident but worse in the last two weeks (due to pregnancy);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discontinued pain medication since learning of her pregnancy two weeks ago;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walking her left knee gives out suddenly. This occurs almost every day. She has fallen down several times but now tries to control her left leg. She knows when it is going to give away and rests for a while and prevents it giving way or from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She told Dr. Reebye that those symptoms and others she related to him have been present following the motor vehicle accident. She stated that her arm and leg numbness has been getting worse. The headaches and pain in her eyes have remained more or less the same. The pain in her arm and leg has been increasing. She feels good when receiving massage, after which, she gets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told Dr. Reebye that the damage to her car was $4,000 - $5,000 and she remained fully conscious at the time of the accident. She was not sure if her head and face hit against the steering wheel, dashboard or windshield. Her body was jolted back and forth and her head hit against the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Reebye noted that she has been taking Toradol (pain and anti-inflammatory medicine) and Robaxisal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related the physiotherapy she had been taking, saying she attended treatment three days a week for half-hour sessions and felt "sicker" than before she went. The physio-therapist did not teach her exercise or stretches and no massage was given. She felt that the jacuzzi was helping her to relax but felt much worse under the physiotherapy and discontinued it after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told Dr. Reebye she was doing some exercises on her own at home and walking a lot. She was doing aquacizes and swimming almost every night; however, she had stopped swimming at the public pool because she was feeling so tired. She is now swimming once a week at a private pool. The information she related about swimming is new information related only to Dr.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Reebye advised that she could keep going to physiotherapy despite her pregnancy. He advised that she discontinue massage and chiropractic.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Reebye noted her many physical symptoms, most of which were not "fresh". She told him that she was worried how she was going to cope at the time of delivery of her child; that her present pregnancy was unplanned but she was happy about it. At the time she was working eight hours a day five days a week and managing in spite of her aches and pains and planned to work until the last few days of her pregnancy. She said she needed more rest and things are harder for her at work, but she prefers to be at work rather than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Reebye continued with a "systems review" based on the information she gave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vision is good, no problems with hearing or swallowing. Her appetite has become better since she is pregnant. Her weight is okay but she has been putting on weight because of her pregnancy. Her sleep which was poor, has improved since her pregnancy and she is sleeping quite well now...She now wakes up feeling fine in the mornings, in spite of some soreness. She was feeling quite depressed following the accident and feels a little better knowing she is pregnant. She is happy with the pregnancy although it was not planned. Her family is also happy. She used to cry a lot because of her pain and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note that the reference to depression is the first time it has been noted in the medical Reports and Clinicals.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EXAMINATION, Dr. Reebye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looks sad and walks very slowly with poor posture, her body bent forward, moving her arms very sparingly by walking and generally walking very sparingly. She weighs 114 lbs. for a height of 5' 2". She has well maintained cervical, thoracic, lumbar curves, but maintains a somewhat stooped posture. Her shoulders and hips are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Reebye then spoke of his examination of her head, neck, thoracic spine, chest and lumbar spine, legs, hips and gait, which I shall not relate. He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looks anxious and depressed and did not swing her left arm and in general exhibited very slow movements and a rather withdrawn demeanour. </w:t>
      </w:r>
      <w:r>
        <w:rPr>
          <w:rFonts w:ascii="arial" w:eastAsia="arial" w:hAnsi="arial" w:cs="arial"/>
          <w:color w:val="000000"/>
          <w:sz w:val="20"/>
          <w:u w:val="single"/>
          <w:lang w:val="en-US" w:eastAsia="en-US" w:bidi="ar-SA"/>
        </w:rPr>
        <w:t>The above raises the suspicion of significant psychosomatic problems affecting her presentation</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Reebye had reviewed Dr. Aulakh's Clinicals from January 31st, 1992 to January 8th, 1994, Dr. Hershler's Report of November 1993 and results of x-ray taken April 23rd 1994 with respect to cervical and lumbar spines and left shoulder, all of which were normal. He also reviewed the clinicals of Delta Physiotherapy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Reebye gave his Opinion and Diagnosis, which I shall recite only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data available, I am of opinion that Ms. Khairati sustained mild soft tissue injuries as a result of the motor vehicle accident of December 9, 1992. From onset and progress of symptoms, the most likely problem was pulled muscles and other soft tissues. There is no clinical evidence to suggest likelihood of torn muscles or ligaments, broken bones, damage to intervertebral discs, nerves or nerve roots.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almost a year and a half following the accident. Injuries of the type sustained by Ms. Khairati heal within a few weeks. However, aches and pains may persist for more prolonged periods depending upon a number of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presents as a very sad-looking, slowly moving young lady with a number of musculoskeletal complaints and other difficulties. She impresses me by her slowness of movements and general demeanor and I suspect a significant degree of depression in her case. In fact, she states that she was more depressed and feels somewhat better after learning about her pregnancy.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been back to work and is managing at her job. I would advise continuation with her job as she feels it is a positive outlet for her. An active exercise program would also be in her best interest. At this stage, there are no contrain-dications for her to continue with an active exercise program. Her exercises can be adjusted to her abilities as her pregnancy progresses.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advise her to discontinue passive modalities of treatment like massage or chiropractic manipulations as, in my opinion, these will not be of any benefits to her at this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in my opinion, no likelihood of permanent physical impairments to occur as a result of injuries sustained by Ms. Khairati on December 9,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Reebye gave his Prognosis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are significant psycho-social factors which are responsible for continuation of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for recovery of her musculoskeletal problems is good. There is no likelihood for permanent physical impairments to occur as a result of injuries sustained by her in the motor vehicle accident. She appears however to be emotionally quite distressed and during examination, she displayed some inappropriate pain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that she describes with pain affecting the whole of the left side of her body is rather unusual. It is more likely secondary to anxiety and depression rather than a true mechanical or neuro-logical problem caused by specific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Continuing with an active exercise program together with psychiatric and/or psychological support would be of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the physical potential of being able to return to full pre-injury activity after her psychological problems have been allayed. I anticipate that her aches and pains will settle down with the above measures. This may however take several months to resolve.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from the history she gave, the symptoms that she reports are secondary to injuries sustained by her in the motor vehicle accident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DAVID CHAN -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saw Dr. Chan in December 1994 (date not given) at the request of her solicitor for the purposes of a neuropsychological assessment. Dr. Chan's Report is dated December 6th, 1994; he had read a CL 19 report of Dr. Aulakh (not in evidence) and his Clinicals, Dr. Hershler's November 1993 Report, Dr. Reebye's July 1994 Report and the Clinicals of Delta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told Dr. Chan that she had much pain primarily in the left side when she was working (until August 24th, 1994) and made mistakes at work which had been brought to her attention. She had stopped taking medication when she became pregnant. She reported many of the usual symptoms of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Chan interviewed Mr. Khairati, her husband who described her general condition after the accident. He told Dr. Chan: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did not do her housework and could not look after the children. Because of pain she could not stand for very long. She is upset, depressed, irritable and angry with everyone. She received physiotherapy for about three months but it was not helpful. She got tired easily. This affected their marital relationship. She did not want to have sexual relations because of her pain. She was forgetful and had memory problems. She forgot appointments with her doctor, she forgot what she was supposed to buy while shopping. She was on pain killers such as Tylenol 3, Extol and Robaxisal before she found out she was pregnant. The baby is due in December or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Chan administered 27 psychological tests and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testing revealed mild deficits and adaptive abilities dependent upon brain functions. The deficits are in the areas of new learning ability, problem solving skills, and abstract reasoning in higher mental functioning, tactile, spatial and memory functioning, fine motor speed and coordination. It was noted that anomalies in mood, physical discomfort and fatigue affected her efficiencies on some of the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of the memory testing revealed that she is functioning close to the mid point of the Low Average range...It was noted that emotional sequelae, pain and fatigue affected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Chan gave his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neuropsychological test findings favour a diagnosis of mood disorder with significant components of pain, depression, and anxiety over a more direct neuropsychological insult...As a result of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that Mrs. Khairati be offered appropriate psychological treatment in the form of psychotherapy as well as ongoing management for her pain syndrome. A psychiatric referral may also be appropriate in that anti-depressant medication in dosages characteristic of treatment of mood disorder may also be helpful. I believe a more definitive prognosis must await an evaluation of her response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Chan saw her six times from November 1995 to February 1996 for counselling. He wrote a Second Report in June 1997 making certain recommendations, including coun-selling,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Hershler saw the plaintiff before she became pregnant, Dr. Reebye very soon after she had learned of her pregnancy and Dr. Chan shortly after she resigned from her employment and before giving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June 2000 she was sent to Dr. Joy, a psychologist, for psychological-legal assessment. Dr. Joy reviewed the compendious medical reports and prepared a summary. It is an excellent summary, although not complete. At trial, I said I intended to use Dr. Joy's summary in these Reasons, subject to any objection that counsel might have. There were no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shall now use Dr. Joy's summary of assessments and findings commencing in 1995 and shall add any comments I have following Dr. Joy's individual summaries.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JOY'S SUMMARY OF MEDICAL ASSESSMENT AND CONCLUSIONS 1995 - FEBRUARY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March 14, 1995, Dr. P. Rees (Neurology) diagnosed headaches, muscle contraction in nature, "as a consequence of soft-tissue injury to her neck" (page 3). He also noted marked pain behavior and non-anatomical left-sided tingling and sensory impairment. He thought that her perceived lack of physical well-being was "strongly colored by her emotionality" (page 3). Prognosis for her headaches was uncertain. He thought that if her psychological and emotional problems could be addressed, then her physical improvement should follow (page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5, 1995, Dr. Hershler noted that Ms. Khairati had stopped working completely in August 1994, because of pain. His diagnosis was as it had been in November 1993 - "musculo-ligamentous injuries to the spine" (page 2). He noted pre-dominantly left-sided muscle tenderness, tightness, and deconditioning. Chronic pain had led to a "subjective decrease in perception of sensation on the left side" (page 2). Chronic pain had led to weakness. He noted anxiety and frustration, however, he did not believe that she was clinically depressed. He recommended a coordinated multidisciplinary approach to pain management, including counselling, physical therapy, chiro-practics, and massage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20, 1995, Dr. Hershler repeated diagnoses, as above. He thought that she had deteriorated from his previous assessment in March 1995. He recommended specialized grostic treatments (chiropractics). He did not think that she was in any condition to return to any type of employment. His diagnosis was unchanged at June 20 and at September 9,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was assessed by Dr. Jaworski (Physical Medicine and Rehabilitation) on October 23, 1995, and a report is on file dated October 25, 1995. Dr. Jaworski opined "Somatoform Pain Disorder", at the same time recognizing that this diagnosis is within the domain of Psychiatry (page 5). He recommended evaluation by a Psychiatrist with a special interest in Somatoform Disorders. He thought that appro-priate evaluations had uncovered no organic pathology or pathophysiological mechanisms which would account for her pain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note Dr. Jaworski wrote: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Waddell's signs are 5/5 positive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was assessed by Dr. Shahid (Orthopedic Surgeon), and a report is on file dated November 21, 1995. Dr. Shahid concluded "no objective findings to explain her various multiple presenting pain complaints with the exception of her headache complaint, which does not lie within my field of expertise" (page 2). He noted marked illness-type behavior. He did not see any need for her to use a crutch. He instructed her to get into a regular program of activity, such as brisk walking.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was assessed by Dr. P. Janke (Psychiatry), and a report is on file dated April 22, 1996. Dr. Janke noted a great deal of pain behavior, though a "relatively bright affect" (page 5). On assessment, he saw "no clear evidence of depression," rather, "marked pain behavior consistent with the development of a chronic pain disorder" (page 7). He recommended a multidiscip-linary pain clinic, and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note that Dr. Janke spoke of Dr. Hershler's Reports,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Hershler simply reports Ms. Khairati's ongoing symptomatology and does not offer any new diagnoses. I am not sure why no consideration has been given to the rather marked psychological overlay which is seen by others with respect to her physical symptom-atology or the fact that it is difficult to under-stand the pathophysiological basis of the complaints that Ms. Khairati has.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was assessed by Dr. B. Rana (Psychiatry), and a report is on file dated July 15, 1996. He wrote that he found it "difficult to make a psychiatric diagnosis." He thought that an organic mood disorder needed to be ruled out. Symptoms of depression were thought to be possibly secondary to physical problems. He recommended a trial of antidepressant medication. He thought that antidepressant medication, namely Paxil would treat her symptoms of depression, and may also help with her "centrally mediated pain" (page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note that Dr. Rana wrote that the plaintiff was feeling depressed and had even felt depressed prior to the accident. That is the first and only time that she reported to medical people feeling depression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Joy's Summary (cont'd:)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Reports indicated dramatic deficiencies in endurance and tolerance to activities. Ms. Khairati was judged not to have the sufficient endurance or physical strength required to complete a daily program at the VPC. A transitional physical therapy program was advised, with reassessment for appro-priateness to the VPC program at a later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Medical Assessment Report from the Vancouver Pain Clinic is on file dated June 5, 1997. At this date, Dr. K. Shojania opined chronic pain syndrome involving the entire left side of her body. He thought that her pain diagram showed a pattern of pain that had no organic basis (page 3). Features of chronic pain syndrome were seen to include "pain-centered behavior, sleep disturbance, extreme functional disability out of keeping with physical findings, and spreading of the pain since the initial injury" (page 3). He did not think that she would be able to tolerate the full program, and he recommended a structured, supervised, extremely gradual active exercise program at her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psychological Assessment Report is on file from the Vancouver Pain Clinic dated June 4 and 5, 1997. At that time, Drs. Grady and LePage opined symptoms sufficient to meet the diagnostic criteria for Major Depression (page 3). Ms. Khairati did not complete self-report measures because of reported fatigue and difficulty concentrating. They saw her as "currently embedded in a pernicious chronic pain cycle" (page 5). They thought that she would need some physical upgrading before she would be able to tolerate their full program. They recommended a home exercise program, a trial of antidepressant medication, and a review by a physician of physical findings to help Ms. Khairati make the distinction between pain and damage, and also determine which activities would be physically safe for her to do. They also indicated a preference to working with patients once litigation issues are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on file from Dr. S. Nagra (General practice) dated June 13, 1997. Ms. Khairati began with Dr. Nagra on November 29, 1995. Dr. Nagra recorded assessment findings and recommendations between November 29, 1995, and April 21, 1997. Dr. Nagra concluded as follows: "on each and every visit and also in the past, the patient had been treated with different types of treatments. These included different medications, physiotherapy, massage therapy, acupuncture, chiropractic modalities, psychological assessments, and rehabilitation. She has also tried pain management clinics. The patient was thoroughly investigated with x-rays of the shoulder, lumbar spine CT scan, MRI, nerve conduction study, hematological blood work-ups. All of the above-mentioned investigations occurred at various clinics. All were normal" (page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note Dr. Nagra referred the plaintiff to G.F. Strong Clinic's Brain Injury Assessment program, but she was refused entry into the program. I also note that Dr. Nagra saw the plaintiff on 26 occasions between November 1995 and April 27, 1997. I also note that in her letter of Report to Mr. Mohamedali, Dr. Nagra wrote: "History of post-traumatic stress syndrome."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Joy's Summary (Cont'd:)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18, 1997, Ms. L. Melvin (Registered Clinical Counsellor) recorded treatment sessions over six occasions between November 9, 1995, and February 29, 1996. Cognitive behavioral techniques for pain management were applied. Progress in treatment was said to be limited to two factors - the amount of pain she was in, and the difficulties she had in attending regularly. Further psychological counselling was recommended on an as-needed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on file from Dr. Rees (Neurology) dated August 19, 1997. Dr. Rees examined Ms. Khairati for headache complaints. A cranial CT scan was reviewed, and he saw nothing on the scan to account for her headaches (page 2). Headaches were thought to be perpetuated by Tylenol medication. Functional sensory findings on examination were thought to be as a result of Conversion Disorder, "assuming there is no conscious intent" (page 2). Dr. Rees diagnosed: "(1) soft-tissue injury; (2) muscle contraction headaches exacerbated by analgesic abuse; (3) Conversion Disorder (sensory)"(page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on file from Dr. Hershler dated September 2, 1997. Dr. Hershler concluded a history and physical findings "consistent with chronic pain"(page 2). He also thought that she had developed a "severe sympathetic response" on the left side of the body (page 2). He saw her as extremely debiliated and deconditioned with virtually no free spinal mobility. He saw no other neurological injury. He recommended, on an urgent basis, occupational or a physiotherapy visit to her home, pool exercise, massage therapy at home once or even twice a week, and home-care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Occupational Therapy, Physical Therapy, and Psychological Reports are on file from the Vancouver Pain Clinic dated February 25, 1998; February 26, 1998; and March 3, 1998. On February 25, 1998, Dr. Shojania opined "chronic pain syndrome" involving the entire left side of her body. He thought that this pattern of pain had no organic basis. He also noted sleep disturbance, functional disability out of keeping with her physical findings, pain enhancing behavior, and spreading of the pain since the initial injury. He thought that she was depressed. He recommended antidepressant medication and individual psychological counselling regarding pain management and depression. On the basis of his assessment at that time, he did not think that she would be able to tolerate the pain program at the VPC, "even if it was modified significantly" (page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summary of interdisciplinary findings from the Vancouver Pain Clinic is on file dated March 3, 1998. It is signed by Drs. Grady and LePage (Psychologists). On conclusion, it was determined that Ms. Khairati was not yet able to tolerate the program at the VPC, even if it was modified significantly. Chronic pain syndrome was diagnosed. There continued to be evidence of depression, though, on psychological assessment, she did not meet the DSM-IV criteria for Major Depression. Measures to increase physical tolerance were recom-mended, as was antidepressant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on file from Dr. Hershler dated June 17, 1998. At that date, Dr. Hershler opined chronic pain affecting predominantly musculoskeletal structures in the body, more on the left than on the right. He also observed a "sympathetic component" to her pain. He saw her to be extremely sensitive to palpation in the soft tissues of the body, and extremely splintered in her movements along the entire length of her spine. There was very obvious muscle spasm. Since March 1998, he thought that she had regressed. He recommended support for daily pool therapy. He saw her's as a "serious condition that is affecting all aspects of her life" (page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Neuropsychiatric Consultation Report is on file from Drs. K. Stevenson and A. Scamvougeras dated November 3, 1998. She was assessed on November 2 and 3, 1998, in the Neuropsychiatric Unit at UBC. Drs. Stevenson and Scamvougeras observed a woman with numerous somatic symptoms following the motor vehicle accident of December 1992. They noted that no medical condition had been identified to account for these symptoms. They saw clear symptoms of Major Depressive Disorder. As to diagnosis, they offered the following DSM Axis I diagnoses: "(1) Undifferentiated Somatoform Disorder; (2) Major Depressive Disorder, Single Episode - Severe" (page 5). Axis II and III diagnoses were deferred. Impatient assessment and treatment were recommended.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on file from Dr. Scamvougeras dated February 24, 1999. According to this report, Mrs. Khairati was admitted to UBC Hospital on January 5, 1998, and discharged on January 21, 1999. During admission a number of tests were conducted, namely, blood work, urinalysis, EEG, CT scan of the head, CT scan cervical spine C3 to T1, and a chest x-ray. All examinations were apparently normal, though primary hypothyroidism was diagnosed, requiring "replacement Thyroxine" (page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formulating and understanding her illness, Dr. Scamvougeras wrote that all evidence pointed to the fact that she was suffering "somatoform pain disorder" (page 2). This disorder was explained as the result of a "central brain-based illness" that was amplifying her peripheral pain experience (page 2). In addition, she was seen to be suffering almost all symptoms of major depression. There was evidence of auditory and visual hallucinations suggesting psychotic depression. Inpatient multidisciplinary management of her depression, psychosis, and somatoform pain disorder was recom-mended. Apparently this treatment was not pursued as Ms. Khairati had concerns about the possible side-effects of some of the medications that were being recommended. The Khairatis, therefore, declined ongoing inpatient management of her illness. She was discharged formally from the Neuropsychiatric Unit on January 21,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note the medication she declined was Resperidal/Resperidene.)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Joy's Summary (cont'd:)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discharge diagnoses were as follows: "(1) motor vehicle accident, December 1992; (2) Major depression with psychotic component (auditory and visual hallucinations); (3) severe somatoform pain disorder (pain secondary to psychological and psychiatric distress); (4) primary hypothyroidism requiring replacement therapy" (page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Follow-up recommendations included continuation with Dr. Nagra, her General Practitioner, physical and psychological rehabilitation with regard to her major depression and somatoform pain disorder (in-patient treatment preferred), and thyroxine replacement for primary hypothyroidism (page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That concludes Dr. Joy's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 SUMMARY OF THE EVIDENCE OF OTHER MEDICAL PROFESSIONALS DR. BRUCE CARRUTHERS - SPECIALIST IN INTERNAL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Carruthers wrote a Report and testified at trial. He was qualified in internal medicine with a sub-specialty in chronic pain and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and her husband saw Dr. Carruthers on Galiano Island where he assessed her on June 1996. His Report was not delivered until July 20th, 1999. He saw her on one occasion and the condition he described in his Report and spoke of in evidence, was June 1996. She related the usual symptoms. He did not review any other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examination Dr. Carruthers found fibromyalgia points, three were positive on the right and on the left all were positive. He noted physical symptoms which I shall not mention; all neck muscles were generally restricted and she had a slightly enlarged thyroid.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Carruthers concluded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obviously has post-traumatic fibro-myalgia, not too symmetrical. There are some equivical neurological changes. ...At this point I would think they are probably secondary to her pain. She has 12/18 positive fibromyalgia points. This is a borderline level. She has become totally disabled. I would agree with the patient that her depression is secondary to her widespread severe and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Carruthers is the only doctor to diagnose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trial he said, fibromyalgia is a sub-category of chronic pain. His diagosis of chronic pain rests on her subjective history; however, based on the consistency of her history, on the consistency of her actions and on his physical examination, he concluded the pain she was experiencing was not imaginary and it was not "faked".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REEBYE'S SECOND REPORT -- DECEMBER 10th,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Reebye examined the plaintiff at the defendants' request again on August 2nd and November 21st,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told him her daily activities have been less, she was spending more time in bed and resting at home. She was spending less and less time looking after herself and her family and is less active than she used to be. Walking has become a big problem for her and she does not go many places where she has to walk. She walks about half an hour in a whole day. She uses a cane about 95% of the time. She related many other complaints of the usual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Reebye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feels that her lower back area is relaxed when she is in the water. The force of the jet with jacuzzi helps relieve the pain and the sauna relaxes her. She feels really nice when she is there. After that she feels really tired and she lies down for at least five hours and is unable to get up. The days they do not go to the pool, she sits in the park for about an hour. ICBC has provided a person to help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Reebye examined her but did not do a number of his usual clinical tests because she complained of marked discomfort. The plaintiff had not yet been assessed by Dr. Solyom.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Reebye's assessment and opinion is based on interviews with the plaintiff on August 2nd and November 21st, 1997, his clinical examination and his review of the extensive medical information provided to him.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anticipate permanent physical impairment to occur as a result of injuries, when I saw her in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one again puts into perspective her physical injuries. In my opinion she did not sustain severe injuries in this motor vehicle accident and she and her healthcare givers need to be reassured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extremely unusual for symptoms to occur on one side of the body following injuries. Such a pattern is seen in presentations affected by non-organic causes or in cases of malingering, suggesting psychosomatic rather than physical causes for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Reebye gave these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distribution of symptoms is "non anatomical". In the pain picture, she has drawn a line right in the middle of the body and shaded areas of symptoms. This pain picture is highly suggestive of non- organic causes of her symptoms and such distribution does not occur in cases of musculoskeletal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leave the specific diagnosis regarding the non organic presentation to a psychiatrist or a psychologist. Getting the help of a psychologist or psychiatrist with similar cultural background as herself might be helpful in her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long term passive physical treatments must be discontinued.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management in her case is to be a psychiatric and/or psychological assessment and treatment. She presents with significant inappropriate pain behavior case and this needs to be assessed and addressed first of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Settlement of her case might also be a significant factor in resolution of her symptoms. Sending her for complex therapies, treatments and chronic pain clinics to overcome her symptoms will be, in my opinion, a waste of time at this stage and in fact, can prolong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useful to have somebody to encourage her to exercise and become more active. Howeever, one must gradually decrease the amount of help that she gets both from the therapist as well as from others who are doing her work at home. Prolonged help, in my opinion, can be a reinforcement to her condition and prolong her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Dr. Jaworski that she should be seen by a psychiatrist who has special interest in somatoform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is suffering from excessive, unnecessary, non specific treatment and receiving too much supportive care in her home. One has to gradually but very soon discontinue the homecare worker who comes and helps her get out of bed. There is no physical reason why she cannot get out of bed on her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multidisciplinary pain management will be useless and waste of time at this stage unless the element of secondary gains factors are first addressed.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needs to be seen by a psychiatrist and psycho-logist in conjunction or separately to help her get out of this vicious spiral of pain and disability. Beyond that, having more health care givers involved in her treatment will, in fact, create more confusion rather than helping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fewer the health care givers involved, the better it will be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Management at this stage should be geared to increasing activity tolerance, increasing functional ability, encouraging resumption of household and family activities and exploring return to work potential.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five years following her injury. Further diagnostic efforts to find a physical cause of her symptoms is going to cause frustration both to her health care givers and to her. One has to focus on and specifically address psychosocial causes including secondary gain factors and help resolve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difficult case. Ms. Khairati needs to be helped to get on with her life. It can sometimes require courage to discontinue long-standing and ongoing treatments in such cases. It needs to be re-emphasized that less treatment is better in her case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Dr. Reebye's opinion the plaintiff sustained mild to moderate soft tissue injuries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CAROL SOLYOM - PSYCHOLOGIST - TESTIFIED FOR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was referred by the defendants' to Dr. Carol Solyom for assessment. Her assessment was conducted over five days - 4 days in July and September 4th, 1997; psychometric testing was conducted over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Solyom's Report dated October 3rd, 1997, comprises 51 pages and her Clinicals comprise a further 78 pages. At trial, she testified for two days in cross-examination and re-examination. Her Report and her evidence has generated medical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When she wrote her Report she had not read any of the medical information about the plaintiff that had been provided to her, nor had she before she saw the plaintiff and wrote her Report. She wrote an Addendum to her Report. By then, she had reviewed the medical information, gave a critique of it and wrote an expanded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her Report Dr. Solyom described the plaintiff's subjective history and complaints. She related the results of her psychometric testing and there are but two of many, that I shall relate - the M.M.P.I.- 2 and Fake Bad Scale for Personal Injury Claimants (Lees-Haley, English and Glen 1991. With respect to the M.M.P.I.- 2 Dr. Solyom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Minnesota Multiphasic Personality Inventory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Butcher's interpretive report suggested that she "presents a rather mixed pattern of symptoms in which somatic reactivity under stress is a primary difficulty ...Her physical complaints may be vague, may have appeared suddenly after a period of stress, and may not be traceable to actual organic changes. She may be manifesting fatigue, vague pain, weakness, or unexplained periods of dizziness. She may view herself as highly virtuous and show a 'Pollyannish' attitude toward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"Individuals with similar profiles tend to be somewhat passive-dependent and demanding in inter-personal relationships. She may attempt to control others by complaining of physical symptoms ... Her physical complaints are likely to be used to gain attention from her spouse. Physical complaints may also be employed to avoid sexual relations...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is likely to have a hysteroid adjustment to life, but, under stress, may experience periods of exacerbated symptom development. Some indivi-duals with this profile develop patterns of 'invalidism' in which they become incapacitated and dependent upon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Solyom discussed the plaintiff's score on the Fake - Bad Scale for Personal Injury Claimants (Lees-Haley, English, and Glenn, 1991)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Lees-Haley, 1992) points to exaggeration or simulation of complaints. A cut-off score of 20 correctly classified 24 out of 25 individuals or 96% of Lees-Haley et al's sample, as malingerers. 18 of 20 personal injury claimants thought to be presenting "genuine symptoms of emotional distress" were correctly classified using this cut-off score. Ms. Khairati's score is at the 86th percentile, using the normative sample of 25 personal injury claimants shown to be malingering emotional distress. That is, her score exceeded the scores of 86% of individuals in this sample who were malingerers. Her score was at the 84th percentile, using a normative sample of medical outpatients asked to simulate emotional distress resulting from a motor vehicle accident. Ms. Khairati's score exceeded the scores of all 20 personal injury claimants who were thought to be presenting genuine symptoms in Lees-Haley et al's study. In a more recent study (Lees-Haley, 1992), it was suggested that a cut-off score of 26 would be most effective in identifying spurious post-traumatic stress disorder claims for women. Ms. Khairati's score on the Ego strength scale also points to over-reporting of psychopathology (Butcher, 1990; Graham, 1990; Caldwell, 1988; Lees-Haley,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Solyom gave her initial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as yet to review medical files supplied. On the basis of the information provided to me by Ms. Khairati, it would seem that she has not been provided with a diagnosis, nor has an objective underlying physical problem been identified. Many components of my evaluation point to the importance of social reinforcement in the maintenance of her complaints of pain and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of personality testing. Her scores on clinical scales 1, 2 and 3 as well as four subscales associated with somatic complaints are at the 100th percentile.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Score on the Fake Bad Scale for Personal Injury Claimants.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Tendency to amplify pain and disability.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pattern of psychometric test results.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in her self-report.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these assessment findings point clearly to the importance of social reinforcement/secondary gain in maintaining complaints, clinicians are unable to weigh the relative contribution of each of the many forms of secondary gain which might be operative in a particular case. We are unable to determine the extent to which an individual's production of symptoms is governed by intentionality. This deter-mination rests with the trier of fact. From a clinical point of view, however, it is not important to determine whether the behaviour is conscious or unconscious, voluntary or involuntary. What is important is the recognition that successful inter-vention requires removal of reinforcers for pain and disability behaviour. Rewards for pain behaviour tend to reinforce the continuance and persistence of that behaviour. At the American Medical Association's Commission on the Evaluation of Pain pointed out, "the patient is caught in a web of effects which result from the influence of con-ditioning or experience. 'Illness behaviours' are rewarded and the incentives for recovery are inadequate. There are multiple variations of this theme; for some, the continuation of pain is rewarded by increased concern and solicitousness from spouse and family; for others pain provides a legitimate rationale for quitting an unpleasant work environment; for still others, the luxury of concerted medical attention is a powerful lure -without corrective action, the individual slips ever deeper into a rut over time. The pain never abates, and the status of 'pain disabled' provides a certain legitimacy and sometimes a steady income. As long as the incentive remains unaltered, the prospects for spontaneous recovery are remote." (p. 23). It was further pointed out that the legitimacy conferred by the official designation of disabled may be "the only acceptable way for some individuals to work within the system to adapt to the competition of daily living ... (This legitimacy) may be of inestimable value if it carries with it physical and emotional support from family, friends and the society at large." (p.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 of the medical files, I will provide an addendum to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Solyom's Conclusions contained in her Addendum Report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these medical files does not alter my conclusions as reported in my psychological report that the persistence of her complaints of pain and disability arises out of reinforcement by secondary gain factors. There are no objective findings of physical impairment noted in the voluminous files. There are differing opinions among the reporters as to the presence or absence of depressive symptoms, all of which, of course, are based on the patient's report. The psychological tests, in particular, MMPI-2, which is an objectively based actuarial system, thereby representing a semi-objective assessment suggest inappropriate illness behaviour, which, according to the literature, is found only in individuals undergoing disability determinations and not for individuals with objective findings of physical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these files, it has been suggested to Ms. Khairati to return to an active exercise program. This was very clearly spelled out by Dr. Reebye in July, 1994, but she had been told to do the same by Dr. Hershler in November,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Khairati returned to work in March, 1993. She had voluntary quit work in November 1990, according to one report, "to be with her family." To me, she had indicated she wanted to upgrade her skills and was going through a career placement program at the Motor Vehicle Branch of Canada Employment. Following the motor vehicle accident, she continued with the career program and three months after the accident returned to a job in a freight-forwarding company that she had left in November 1990. No one, including myself, discussed why she returned to work at that time, if she was in the amount of pain she describes. Presumably, she and her family had been able to manage financially without Ms. Khairati earning income. Nevertheless, Ms. Khairati stated that she returned to work and was only able to do so because she could take painkillers. When the pain-killers were contraindicated, as she discovered she was pregnant - not at all planned - she stopped the medication and quickly quit work because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Though she stated that she wanted to recover and return to work, the evidence was to the contrary. Throughout this five-year period, she has demon-strated a preference for the passive modalities of therapy, massage, manipulation, application of heat, and has avoided programs of increasing physical activity. She is remaining in bed twenty-two hours a day, according to her report. No health profes-sional would ever advocate such management. Despite her protestations of wanting to get better, she, in fact, has not followed any program that would help her get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 diagnostic and treatment decisions will be taken in the interdisciplinary conference. It is my opinion, however, that no treatment program will be anymore successful than those that have been attempted in the past unless the social reinforcers maintaining her behaviour are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shall now summarize Dr. Solyom's evidence under cross-examination and re-examination at trial: -</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Solyom does not diagnose the plaintiff to be suffering from a chronic pain disorder, rather her behaviour is inappropriate disability behaviour being maintained by psychosocial reinforcement factors which is the same as secondary gain, which would include financial gain.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Somatoform disorders are those arising from the body - physical symptoms and are not under an individual's control.</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injury differs according to the individual; so does fortitude, for people do not deal with pain in the same way. Pain is a subjective and a uniquely human experience and alludes objective assess-ment.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written Report, Dr. Solyom devoted pages to describing the plaintiff's pain behaviour during her interviews and Dr. Solyom inferred that it was inappropriate and exaggerated. At trial Dr. Solyom was referred to a book written by Dr. Wilbur E. Fordyce,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Behavioural Methods for Chronic Pain and Illness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passage from Dr. Fordyce was put to Dr. Solyom: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the pain to be identified the person must in some fashion communicate to the surrounding environment that he or she is experiencing pain. The reported pain, particularly chronic pain may be verbal, or by some other form of audible or visible action. ...The latter group includes non-language sounds such as moans and gasps, body posturing, gesturing, limping, rubbing of painful areas, grimmacing and dis-playing functional impairment, reclining excessively to rest or staying home from work because it hurts too much.</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Dr. Solyom recognized Dr. Fordyce as a prominent psychologist with expertise in the study of chronic pain and she agreed that the characteristics he describes (supra) are those one would expect to see in someone with chronic pain.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Solyom agreed that depression is frequently present in those experiencing chronic pain syndrome - perhaps by more than half of patients with the syndrome. In her mind, chronic pain and chronic pain syndrome are closely allied.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Solyom spoke of the secondary gain factors she believes the plaintiff seeks to sustain. In her Report she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case of Ms. Khairati, she no longer works. She spends her day in bed and has no responsibility with regard to child care, household care, preparation of meals, etc. She no longer engages in a sexual relationship with her husband. Her husband spends a lot of time taking care of the children and other chores at home. Ms. Khairati is and has received considerable sessions of therapy. In addition, there is an expectation of financial compensation through litigation.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Dr. Solyom conceded that the plaintiff told her that she had enjoyed her work, her co-workers, her boss was nice to her and the loss of those things would not be a gain, but a loss. She conceded that if the plaintiff spends her day in bed and no longer goes to family outings, picnics, the spa, aerobics at her gym, it would be a loss, not a gain. Similarly if one had enjoyed sexual intercourse and did no longer, it would be a loss, not a gain. If the plaintiff enjoyed being fit and could be no longer, it would be a loss, not a gain. Dr. Solyom wrote about the activities the plaintiff related to her enjoying before the accident and agreed that if the information was correct and she could no longer engage in those activities, it would be a loss.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Report Dr. Solyom noted nine inconsistencies between the answers the plaintiff gave when the depression test was first administered on July 11th and those answers she gave on July 15th, when the test was administered again -- 9 out of 21 answers. At trial, Dr. Solyom was told that Dr. Janke had reported "the inconsistencies reported by Dr. Solyom are, in my opinion, typical in these settings". Dr. Solyom testified that psychologists and psychiatrists have differences of opinion, do things in a different way and come from a different background. The court said to Dr. Solyom that some of the plaintiff's answers that Dr. Solyom found to be inconsistencies, did not appear to be so and she agreed.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Solyom testified that the Fake Bad Scale (test) is not part of the validity scales found in the MMPI - 2 but is based on 43 of the items in the MMPI -2. Dr. Solyom was asked about the case Cran v. Great West Life. That case did not consider Dr. Solyom's evidence. It was considered by Stewart J. in 1998 in Sangha v. Dhaliwal and I shall refer to it later in my Conclusions.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Solyom accepted as true the history the plaintiff gave her.</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Disorder is a somatoform disorder listed in DSM 4.</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profile of the plaintiff's test results on the MMPI - 2 was essentially the same that Dr. Chan found when administering the same test in 1994. His testing included the Beck Depression Inventory. Dr. Solyom conceded that Dr. Chan took a different view of the plaintiff than she did and said that it may be attributed to a difference of opinion or to the lapse of time when conducting the tests. She noted that the plaintiff's elevations in Dr. Chan's testing were also extremely 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Dr. Chan did not administer the Fake Bad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Solyom's Report was commented on by others of whom one was approving (Dr. Shojania) and two were not (Drs. Janke and Joy). I shall now consider their evidence and note it is not in chronological order of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Shojania, medical director of the Vancouver Pain Clinic wrote a third Report on August 24th, 2000; three years had passed since his previous report of June 5th, 1997. The August 24th Report was based on his earlier Report and further medical evidence that had been sent to him. He did not see the plaintiff after 1997. Dr. Shojania noted in his August 2000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examination, I could not find any objective findings to support her constant left-sided body pain or general symptoms. The diagnosis at that time, based on symptoms only, was a chronic pain syndrome (pain disorder) without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August 2000 Report, Dr. Shojania related in considerable detail Dr. Solyom's conclusions that the plaintiff's complaints of pain and disability arise out of reinforcement by secondary gain factors and noted Dr. Solyom's conclusion that the psychological testing suggested inapprop-riate illness behaviour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trial Dr. Shojania spoke of the Waddell tests -- they were developed by Dr. Waddell to determine inappropriate behaviour. However he added, Dr. Waddell was careful to say that his tests do not always indicate malingering. They indicate a non-verbal communication between the patient and the doctor. Finding one of the five tests to be positive occurs sometimes, but more than one would be unusual in a regular patient with a regular medical problem; the tests are an accepted diagnostic tool but the interpretation can vary. Dr. Shojania's function at the VPC is to assess and treat people with chronic pain on a regular basis. In his 1997 examination he found two of the Waddell tests he conducted were positive and he concludes there was some pain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Dr. Shojania's opinion the medication the plaintiff spoke of taking before pregnancy - Tylenol 3 once a day, Toradol occasionally and Robaxisal about once a week, would not have been sufficient to control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Shojania was asked to assume that the plaintiff has a chronic pain syndrome arising from the motor vehicle accident -- had she complied with the recommendation of her family physician and medical specialists right after the accident to be involved in an active exercise and physiotherapy program, what would her condition be? He replied, "She should not be in the state she is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JANKE'S SECOND MEDICAL REPORT - DECEMBER 20th,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Joy summarized Dr. Janke's assessment in April 1996 but not Dr. Janke's second medical Report of December 20th, 1999. Dr. Janke prepared his second Report at the defendants' request following his review of material sent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Reports and records of Dr. Hershler including his consultation of September 1997; Dr. Jaworski's report; Dr. Anderson's 1996 report; Clinical records; Dr. Rana's 1997 assessment; Dr. Chan's report; the 1997 report of Dr. Reebye and Dr. Solyom's October 3rd, 1997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Janke noted that Dr. Hershler has described the plaintiff as having a history and physical findings consistent with chronic pain, although he did not specifically make that diagnosis. He notes that Dr. Jaworski describes her as suffering a Somatoform Disorder but Dr. Janke believes that it would be better diagnosed as suffering Pain Disorder which was likely precipitated by her soft tissue injuries; however the maintenance of her symptoms is not physically, but psychologically based. Dr. Janke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Anderson makes reference to a poor prognosis in Mrs. Khairati's situation. To a certain degree I would agree with that. I would simply point out that success of a chronic pain program depends on the patient being strongly motivated. There are clear indications that Mrs. Khairati has not been fully compliant with her treatment program.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of Dr. Reebye dated December 10th, 1997 has been reviewed. With the exception of Dr. Reebye's comments regarding secondary gain, I find myself in agreement with his expressed opinion. It would be crucial for this woman to be mobilized and to participate in greater physical activity ultimately leading in my opinion to participation in a multi-disciplinary pain program. The presence of litigation does serve to interfere with partici-pation in pain programs where the individual is not strongly motivated to get better. There are clear indications in this case that Mrs. Khairati has not followed the advice of treating physicians essen-tially from the beginning of the process. It appears that she has essentially become bedridden and as a result is incapacitated. In the absence of independent evidence, it is not appropriate for us to comment with respect to malingering and ultimately this is an issue for the trier of fact. Certainly there is clear evidence that Mrs. Khairati has been given appropriate advice on many occasions from many different individuals and has not followed through on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many years have passed and Mrs. Khairati appears to be "embedded" in her Pain Disorder. The precipitant would appear to be the motor vehicle accident although the role of the pregnancy is unclear and it is in my opinion it would be impossible for an independent examination to establish its role at this time. Certainly as of the date of the materials provided to me she appeared to be completely disabled. ...Unless she significantly alters her approach to recovery, she will remain disabled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Janke addresses Dr. Solyom's Report and is critical of it,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of Dr. Solyom dated October 3rd, 1997 has been reviewed. Dr. Solyom's approach to the assess-ment of chronic pain is not congruent with my own understanding of the disorder. There is use of psychological testing in a manner which is not consistent with my understanding of general practice in this area. The "inconsistencies" and pattern of psychological testing reported by Dr. Solyom in my opinion are typical in these settings. I would agree with Dr. Solyom that it is difficult to assess for the presence of malingering. ...The secondary gain issues in this case appear to be quite limited. Mrs. Khairati by all accounts was having a relatively miserable existence. It is not clear what in fact she was gaining from her behaviour. Conclusion of litigation in these situations rarely results in significant clinical improvement but it does remove a factor which may be maintaining symptom perception by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STEPHEN ANDERSON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Anderson wrote a Report dated 15 January 1996 and testified at trial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Anderson saw the plaintiff once, on January 11th, 1996 for assessment, three years after the accident. He noted her usual pain behaviour. He took a history replete with usual complaints of physical and cognitive difficulties. She told Dr. Anderson she had been unable to exercise and has gained weight since the accident. She told him she enjoyed her childhood, she thought she was pampered as a child and as a teenager enjoyed the attention her family paid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Anderson found her depressed throughout the interview; she endorsed all the symptoms of a major depression - sleep disturbance, lack of energy, guilt feelings, decreased self worth, depressed mood. He found no thought disorder and no psychotic symptoms during the interview. He had reviewed the report of Dr. Chan who had noted that the Beck Depression Inventory revealed severe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Anderson gave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suffering from a chronic pain disorder and major depression which is commonly seen in patients suffering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referred to the DSM-IV.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He gave his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preferred diagnosis for Mrs. Khairati would be Pain Disorder associated with both psychological factors and a general medical condition</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his opinion, the nature and extent of Mrs. Khairati's present symptoms are beyond what one would expect from soft tissue injuries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Anderson agreed with Dr. Jaworski's opinion that Mrs. Khairati is suffering from a somatoform disorder which is best assessed and treated in a multidisciplinary pain clinic where both physical and psychological factors could be addressed in the same setting. He is not optimistic that were she so treated, she would experience any marked reduction of pain, for she has suffered for over three years (writing in 1996) and he believes that she will continue to suffer pain, indefinitely, but involvement in a pain clinic may teach her ways of coping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With respect to causation, in his opinion the chronic pain disorder, cognitive difficulties and major depression are most probably due to the accident for she does not have a past history of psychiatric illness and she was not suffering from a chronic pain disorder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Anderson made various recommendations for improvement which I need not mention because they were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ANDERSON'S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Anderson saw the plaintiff only once; she presented herself in an open forthright manner and he saw no evidence of secondary gain. He did not find any inconsistency in her self report when compared with the information she gave to others. His opinion was consistent with that of Dr. Chan. He noted excessive pain behaviour during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viewed five surveillance videos of the plaintiff and noted a difference in the way she walked when with the occupational therapist and when she was with family members, however, patients with pain behaviour have good and bad days and he took that into account when interpreting the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Poor participation or interest in treatment is some-thing one would look for to detect malingering and so is inconsistency between verbal reports and actual behaviour. Pain is not an inconsistency, it occurs when psychological factors play a significant role. Patients who are very anxious and depressed often display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Her failure to take physiotherapy and exercise and to follow through with it was not a significant factor in his mind during his assessment, for people who suffer a major depression have a loss of motivation, energy and ambition. Dr. Chan and Dr. Reebye noted depression. He believes her depression became exacerbated after she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Anderson was asked - if he became aware that the plaintiff had deliberately lied to her doctors about her treatment, would that affect his opinion about her credibility and he said it would; but there is a middle ground between chronic pain and malingering - a patient can exaggerate symptoms and still be suffering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Unconscious secondary pain occurs in all cases of chronic pain whether or not the plaintiff is engaged in litigation. 60-80% of patients with chronic pain develop a major depression. Treating it with antidepressants will help improve mood but will not lead to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Most patients with chronic pain do not suffer the plethora of symptoms the plaintiff complains of. He does not believe she had a good trial of antidepressants nor did she have 30 sessions of behavioural therapy, both of which he had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court gave the dates and the complaints she related to Drs. Rai and Aulakh before the accident and asked for his impression.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tells me that this patient was very susceptible to aches and pains and physical symptoms. And the fact she took five years to recover from that other accident is also a red flag. What it means is that this patient is a sitting duck for developing a Chronic Pain Disorder. That she is the type of patient who probably expresses stress in her life through physical symptoms and that when she is under significant stress or strain, she is probably going to have headaches and aches and pains and physical symptoms. And I think that's a very key point in this whole case, is that her chronic pain is to a large degree due to psychological factors combined with the initial physical injury. And at this point in time trying to sort out what's due to physical versus emotional..is impossible. In my opinion it's due to both and that's what I diagnosed her with, a pain disorder due to both.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pre-accident complaints are those of a person who does not deal well with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Her muscles became deconditioned, Dr. Rees and Dr. Hershler found it and that has contributed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Considering her history, Dr. Anderson believes her emotional difficulties, depression and anxiety and her chronic pain began before she left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unplanned pregnancy could contribute to her symptoms in two ways - the psychological stress of knowing she had to look after another child in her impaired physical condition and also the physical result of the pregnancy, increasing weight and increasing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Once she gave birth she "took a steep downward curve" and so the pregnancy in some sense affected her mental state. It is possible but unlikely that the pregnancy alone, absent the accident injuries, could have caused the develop-ment of chronic pain syndrome and major depression; unlikely, because she had given birth to three older children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Chronic pain can develop into a Pain Disorder provided a person has psychological and physical factors interacting.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his opinion, her withdrawal from medication didn't play much of a role in her condition for medication is not helpful treating a Chronic Pain Disorder for the psycho-logical factors are so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Anderson was asked: Had she been involved in the exercise program that Dr. Hershler advised in 1993, would it have helped prevent her present condition? He replied, "Well she did quite well - she was functioning not too badly until after she became pregnant." Asked, is it his view then that it was the pregnancy that caused "all of this to happen". He did not directly answer the question but noted she was diagnosed with hyperthyroidism at UBC and that condition could cause decreased energy, weakness, a depressed mood and other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Anderson testified that Resperidal (Resperidone) a medication to treat psychotic symptoms, can result in irre-versible side effects in some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SCAMVOUGERAS'S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Somatization is seen in patients with a "physical appearing illness" in this case, pain where the underlying cause is psychotic, 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thyroid deficiency was not severe; the free thyroid was close to the normal range but overall her hypothyroidism was well out of the normal range and could be contributing to fatigue and mood. He has not seen a case when hypothyroidism has resulted in a severe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At UBC Hospital there were inconsistencies in physical findings which are classic symptoms of a psychological/neurological condition created by the mind. Dr. Scamvougeras did not make a call whether the symptoms were created consciously or unconsciously. If completely consciously, it is not a somatoform disorder, it is a factitious disorder or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During her hospital stay, variation in motivation was noted. At times she was motivated to cooperate, at times not. The majority of people with a somatoform disorder take physical therapy such as physiotherapy and massage, but some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decision of the plaintiff supported by her family not to take Resperidone disappointed him but did not surprise him because it is not an uncommon response. Dr. Scamvougeras has worked at the Neuropsychiatric Unit at UBC Hospital for some six years and about 30 - 40% of the patients he sees and treats have a somatoform disorder and many of those are in a situation similar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With respect to her complaints and attendances upon Drs. Rai and Aulakh pre-accident, if one finds a variety of non-specific complaints from a person who has a tendency to somatize distress, they may be vulnerable to developing a somatoform syndrome, a more severe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Scamvougeras believes that the motor vehicle accident was the main causative factor for the plaintiff's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respect to her pregnancy, it could create additional stress for someone suffering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PETER JOY - PSYCHOLOGIST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REPORT AND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Joy was the last to assess the plaintiff before trial, seeing her on June 12th and 13th , 2000. His Report is dated July 10th, 2000. He reviewed 32 Medical Reports to prepare his Summary. He testified at trial for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assessment, Dr. Joy took a full history from the plaintiff and interviewed her husband. He conducted a brief mental status examination and found marked cognitive deficit. He is not trained to conduct a comprehensive neuropsycho-logical investigation. Dr. Joy administered four psychometric tests and believes her scores were partly or completely invalid.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Joy's Diagnosis: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Disorder associated with Psychological Factors and a General Medical Condition</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moderate severity, recurrent.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Pain Disorder is the primary cause of her condition and Major Depression most likely reactive and secondary to it. Both conditions have probably been present in some degree since the accident and more pronounced since June/July 1994 when she stopped medication, continuing to the present. In his opinion, the psychological factors did not play an important role in the onset of her pain right after the accident. However they have contributed to the severity and exacerbation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his opinion, the accident is the probable cause of her present condition and that conclusion rests on a number of assumptions he made:</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was fairly significant. He noted that Drs. Reebye and Rees estimate the damage in the order of $4,000 - $5,000 based on the plaintiff's report to them. She could not remember the damage estimate when speaking to him.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sustained soft tissue injuries of a whiplash-type. She did not sustain notable orthopaedic or neurological injuries and no head injuries. Virtually all medical tests have shown normal findings - x-ray, CT-Scan, MRI, nerve conduction studies and blood work. There may have been some evidence of primary hypothyroidism.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insufficient objective physical findings to account for her present symptoms.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motor vehicle accident in 1982 or 1983 resulting in some pain complaints which resolved over a five-year period. She did not have Pain Disorder or Major Depression before the 1992 accident and she was without chronic pain or depression for a good period of time before it.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cognitive problems are probably secondary to her Pain Disorder and Major Depression.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Disorder and Somatoform Pain Disorder by definition assumes that pain is not voluntary. If it were, it would be malingering or a factitious disorder.</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considerable evidence from her assessment suggesting environmental contingencies which serve to reinforce the sick role of the plaintiff. The dynamic could be called secondary gain. Secondary gain or reinforcement contingencies are quite possibly perpetuating behaviour associated with present pain and disability. We cannot be sure that she is aware of the process but does not see her as psychologically-minded or at all sophis-ticated in these matters. It is possible that she may be aware of the process in play, but if she is, he doubts that her awareness is more than minimal. He writes: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have raised the issue of secondary gain to recognize what I see as important environmental factors which may serve to maintain her pain and disability. Those secondary gain factors are not well-defined, there appear to be reinforcing factors related to sympathy and concern of family and friends and immersion in the sick role, which somehow has a benefit, perhaps intrapsychic.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Dr. Solyom (October 3, 1997) has hypothesized social reinforce-ment/secondary gain, and I agree,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Joy recommended treatment by a repeat of OT conditioning of the sort that was done previously, and then referred to a pain program once she has reached sufficient functional capacity to be able to tolerate such a program. He does not believe that she could tolerate, at present, even a grossly modified pain program. His prognosis is not hopeful. Pain programs can help; however, the expectation is not cure but they treat patients to manage their pain. Without a pain program, he would expect the plaintiff will continue with present symptoms and disabilities with minor variations, indefinitely. He believes that with the close of litigation, he might anticipate some modest gain, perhaps in the order of 5 - 10%.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JOY'S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 does not agree with Dr. Shojania's conclusions in his August 24th, 2000 Report, for Dr. Shojania relied on Dr. Solyom, Dr. Joy does not agree with Dr. Solyom's methodology or her conclusions. Specifically he notes that Dr. Solyom has considered only secondary gains but has not weighed these gains against the plaintiff's losses, -- her disability, her loss of enjoyment of family activities, loss of the capacity to care for and be a part of her children's development, loss of sexual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disagrees with Dr. Solyom's practice of not reading any medical information before seeing the patient or before writing her report, and then adding an addendum to the report after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He disagrees with her use of the Beck Depression Inventory and Life Impact Questionnaire. Dr. Solyom administered the Beck Inventory on two occasions and found inconsistencies in the test results. However the Beck Inventory is sensitive to changes in mood, pain severity, external factors, all of which can account for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He noted that Dr. Solyom did not use the diagnoses found in DSM - IV, a standard diagnostic schedule used extensively by psychiatrists and psychologists.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He noted Dr. Solyom had difficulty assessing and testing the plaintiff over a five-day period and he has a doubt about the reliability of her testing,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 quarrels with Dr. Solyom's use of the Lees-Haley Fake Bad Test. He has used that test in the past and found that in virtually every instance when he used it in cases of personal injury, the result was malingering and that result was contrary to the evidence and the findings of the presiding judges. He believes the Fake Bad Test has not been "validated" to prove malingering. The test utilizes only 160 of the 567 items in the M.M.P.I.-2 and the M.M.P.I.-2 cannot with any degree of certainty, give a diagnosis of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Joy concluded the plaintiff was not malingering, based on his review of the medical information, his testing and his assessment of her over two days. However, he conceded the test results were invalid and in his experience that was unusual; but her whole presentation was unusual for she could not remember many things - much of her work history and the circumstances of the accident. The court told him that the plaintiff had given her work history and the history of the accident to many doctors and asked why not to him? He replied, it may have been motivation, either she did not care to or she did not want to make the effort. Major Depression will sap motivation and interfere with cognitive functions. It could have been a combination of conscious absence of motivation because she wants to be perceived as disabled or it could be the result of her psychological condition. In his diagnosis of "general medical condition" he spoke of the physical findings of Dr. Hershler and he relies on those findings for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court asked Dr. Joy about the "thin skull" principle. In his view, it is a capacity to withstand pain. It does not result from malingering or a factitious disorder - it is related to pain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Joy was cross-examined about his opinion that the plaintiff has had Major Depression and Pain Disorder probably since the accident. He resiled from that opinion saying there may have been a Pain Disorder after the accident, but likely it was acute pain and any depression she had then was not a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court referred to the plaintiff's pre-morbid complaints to Dr. Rai, Aulakh and Shahid. Dr. Joy said they raise the question of a pre-accident somatoform disorder and perhaps a somatization disorder or a conversion disorder,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assuming she had a somatoform disorder before the accident, I think that's pushing it. She may have, but I would not be able to assume that unless there was such a diagnosis that I relied upon, or unless I saw her myself. So, just notes in the family physician's records does not lead me to a diagnosis of Somatoform Disorder, pre-accident. I cannot diagnose it on clinical notes from a GP alone ... but it would certainly put up my antennae.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court asked Dr. Joy if a person can have a somatization disorder and also consciously exaggerate physical symptoms. He replied, "Probably to a degree but by definition, somatization is not a conscious process." Dr. Joy gave this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Hickey)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were to provide you with evidence that Ms. Khairati were lying to doctors about her symptoms and her treatment, was lying to care-givers or exaggerating or making up new symptoms, would that change your diagnosis?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really comes down to degrees I think. I think it's not uncommon for individuals in chronic pain and perhaps Major Depression to add symptoms or present slightly more disabled than they actually are. And this is a type of communication so to speak between the patient and the doctor. It's in my experience more pronounced with unsophisticated sorts than sophisticated sorts, and it's sometimes more pronounced in this type of setting, in a medical-legal setting where a patient is going for instance to defence physicians or plaintiff physicians, whatever and the person wants to be believed. So there can be an element of extra presentation in this context. At the same time I don't think it takes away from the core.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It's a matter of degree. I think it's quite common and we call this pain behaviour - that an individual consciously, perhaps uncon-sciously and I am not able to say in this case, will add a little bit extra as a form of com-munication to the doctors. What I have diagnosed in my opinion is the core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He was asked:</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some evidence of malingering include things like lying to doctors about treatment?</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Oh, that's not malingering?</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in my opinion - that could be exaggeration, that could be forgetfulness, that could be - she's - I don't know what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court questioned Dr. Joy: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suppose to this extent, you know something about their home life, you have read about it and she's told you about it. I suppose for some people there may be an attraction in being the centre of attention medically -</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 household like that, sympathy expressed and shown and that kind of thing, am I correct?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my Lord and it could be - a control thing, a way for her to control the environment around her, which could be a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Joy was asked to assume that six months after the accident the plaintiff was reporting memory loss, would he consider it would be present in a normal recovery from soft tissue injury and he replied, it would not be consistent with getting better. It could be attributable to medication, depression, extra stress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TRIAL EVIDENCE AND SOME FINDINGS OF FACT IN RESPECT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testified over four days, for the most part under cross-examination. She was unable to answer many questions, saying she could not remember some events and conversations she had with others. She could not remember her complaints of pain and incapacities at any given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find it is not surprising that she could not remember because her assessments and treatments extended over seven years. She was seen by many doctors and she does not have a written record. She kept a diary for a time but it has been lost. She may have been untruthful when she so frequently asserted, "I cannot remember" but I cannot make that finding with any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Her father, some of her siblings, and her husband testified about her condition before and after the accident and they appeared credible. Her trial evidence about her pain and physical symptoms was consistent for the most part with the physical complaints she related to many others assessing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do not conclude that she was not credible on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shall relate some excerpts from her evidence that bears on the submissions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EXERCISE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pool therapy given by Leah Dick, an occupational therapist, she found helpful. Sometimes they did not go to the pool, rather they went for coffee or the beach and just conversed. She enjoyed those outings. In cross-examination, she testified she could not recall the exercise she was doing on her own, but in re-examination she said she did exercise after the motor vehicle accident, she swam, she walked, she used an exercise machine. She remembers Dr. Aulakh was urging her to take exercise and she tried to comply. When asked what exercise she was taking, she mentioned physiotherapy but could not remember what other exercise she was taking. She does not recall any doctor telling her to stop taking exercise or physiotherapy. She does not recall why she stopped taking physiotherapy after two sessions in 1994 but it may have been because it was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She cannot recall why she stopped taking massage. She cannot recall telling the massage therapist that after one day she was feeling relief, but if she said it, it must have been so. She recalls Dr. Shahid in 1995 telling her to take a regular program of activity. She took the chiropractic that Dr. Hershler recommended but after a time her head began to spin and she stopped. She cannot recall why she waited until May 3rd and 5th, 1994 to take physiotherapy at Hazelwood given that Dr. Hershler advised her in November 1993 to take aggressive physiotherapy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She remembers Drs. Nagra and Shahid recommending exercise and she tried to walk but she was in so much pain. Sometimes she went to malls for walking and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She agreed that she has been told by many doctors how to get better and she has tried to follow that advice but "didn't follow to the end". She cannot say when, where or how long it has been since she has gone out, specifically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TREATMENT, MEDICATION OR RECOMMENDATIONS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She has not been aware of hypothyroidism until her lawyers spoke of it a few days before trial. She does not recall it having been discussed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She saw Dr. Sidhu 13 times between October 1992 and December 1994 but did not tell him of her left-sided pain because Dr. Aulakh was treating that condition and had all the files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does not remember passing out at the time of the accident and cannot say why she spoke of it to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She believes she is now in her present condition because she stopped taking medication when she learned she was pregnant. The medication was controlling the pain and enabling her to work and care for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At the time of trial she was not taking any prescription medication and had not since the onset of her pregnancy. She is presently taking herbal medications for pain and headache and pain in her breast. She does take a cathartic and the occasional non-prescription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Nagra's Clinicals record that in July 1996 she prescribed an antidepressant, Paxol. So did Dr. Rana in July 1996. The plaintiff said she took the antidepressant only briefly because it was constipating and preventing her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used a Gym Master exercise machine that her husband purchased on 10/9/94 during her pregnancy, but did not use it after the birth of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She commenced using a cane in November 1995. When Dr. Aulakh prescribed medications, she had them filled and took them. Dr. Sidhu prescribed prescription medication on December 5th, 1994 (during pregnancy) but she cannot remember if she took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She took counselling from Ms. L. Melvin in Dr. Chan's office but did not return after six visits and cannot remember why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remembers Dr. Nagra sending her to Dr. Rana, psychiatrist, and agrees that Dr. Rana told her that she was willing to treat her. She cannot remember why she did not take treatment from Dr. Rana.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was asked what treatment she thought would help her to get better and replied, "physical therapy, as I had before (with the O.T.). She was asked what prevented her taking it again and said she has been in so much pain. She was asked if she will refuse physical therapy until the pain abates and replied she would resume the therapy if she could get some help for she cannot go by herself. Asked what is preventing her family members who drive taking her to physical therapy she replied, "nothing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She was asked if she wishes to get better and said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She was asked about the surveillance videos which show her walking at a faster pace and not using the cane that she was carrying when with her family, compared to her walking with Leah Dick, and replied that when she goes out with her family, on those days she is feeling better and in less pain. Her husband Firoz Khairati testified that they could not afford pool therapy and there is no qualified person to take her to the pool and exercise with her there. He recalled that Dr. Hershler told his wife that she ought to get out and exercise but, she was in no condition to do so without the help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changes in the plaintiff following the 1992 accident have been profound. Before, she was a happy useful person, good mother, successful employee. She had a happy marriage, was socially active, participated in family and social activities. She gave birth to three children and was active in their lives. After the births of her second and third child she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Until 1991, for the most part her health was good. She suffered allergies as a teenager and adult. In 1982 or 1983 she was injured in a car accident and suffered soft tissue injuries which troubled her for five years. They ended about five years before 1992. Five years is a long time to experience soft tissue injuries. Regrettably, the medical records of her family doctor who treated her for those injuries, were destroyed before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Before 1992 she had sought medical treatment from Drs. Rai and Sidhu for a general medical condition probably related to organic causes. She was also treated by Dr. Aulakh for a general medical condition but some of her complaints to Dr. Aulakh were not related to organic causes. She complained of dizziness, nausea, left arm numbness, appetite loss, insomnia and pain. She complained of these symptoms after the accident. I conclude her complaints to Dr. Aulakh were stress induced for she expresses stress through physical symptoms. Dr. Joy believes she may have been suffering a pre-morbid somatization disorder, but cannot make the diagnosis on the basis of physicians' Clinicals alone. The plaintiff testified that she was under stress in 1991 at work when she complained to Dr. Aulakh of the unusual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accept Dr. Reebye's diagnosis that she suffered mild to moderate soft tissue injuries to her neck, shoulders and back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She was advised to exercise and took some exercise on her own; she walked and she swam. She took some recom-mended physiotherapy but stopped attending because she found it painful and not helpful. She bought a Gym Master in Fall 1994 and used it during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 year after the accident Dr. Hershler found her muscles tight, de-conditioned and weak. Had she persevered with physiotherapy and more strenuous exercise, it is probable that she would not have been de-conditioned to the extent he found her to be. Dr. Hershler recognized the need for aggressive physiotherapy and massage and told her so. She did not take further physiotherapy until May 1994 and on two occasions only. She took six treatments of massage. She cannot remember why she did not continue with the treatments. I suspect the physiotherapy and massage were painful and that is why she did not persevere. She told Dr. Reebye that the physiotherapist did not help and she felt "sicker" than before she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cannot determine why she consciously misinformed Drs. Aulakh, Hershler and Reebye about taking physiotherapy treatments but it causes difficulty for the court in a case of this character, and it has been in my mind,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At a later time Paxol, a form of antidepressant, was recommended by Drs. Nagra and Rana. She took it and found it was constipating and caused sleeplessness and did not continue. Dr. Rana offered to treat her, but she did not take treatment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summary, the plaintiff failed to take recommended treatment that might have improved her physical and mental condition. Was her failure unreasonable? That determination will await my later finding in respect to her mental/psycho-logical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submit that if the plaintiff is to be believed, there was an onset of physical symptoms after the accident, then an improvement evidenced by her failure to pursue therapy, and a return to work in March 1993. Thus, any symptoms she had before the pregnancy are those one would expect to have with soft tissue injuries. The pregnancy, was a novus actus interveniens, it accounts for all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find that not all the symptoms she experienced after the accident were those normally associated with soft tissue injury. Some were, of course, but she was having psychosomatic symptoms following the accident and before the pregnancy. Dr. Aulakh's Clinicals are replete with her complaints of those symptoms. Her return to work does not establish that her condition was improving, for the symptoms did not abate.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conclude the pregnancy was not the sole or pre-dominant cause of the plaintiff's problems. However, it contributed to the further deterioration of her condition. She attributes her deterioration to withdrawal from medication. Specialists doubt it, as do I, for the type and frequency of the medication would not materially benefit her pain. They opine that the anticipation of the birth of a child in her pain condition created additional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find the pregnancy aggravated her condition, it did not cause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Her psychological condition gradually deteriorated. At pages 11 and 12 of these Reasons, I accepted Mr. Mohamedali's summary of her life over time and presently. As Dr. Janke put it, she has had a miserable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She was sent to specialists for assessment and diagnosis. She was twice sent for treatment at the Vancouver Pain Clinic which refused to treat her condition concluding she could not withstand it, physically. She was referred to G.F. Strong and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With two exceptions, there is consistency in the diagnosis of those who assessed her. The exceptions are Dr. Shojania who accepted Dr. Solyom's opinion and Dr. Solyom. I am not persuaded by Dr. Solyom's opinion and conclusions for several reasons. First, in her Report she devoted pages describing the plaintiff's pain behaviour during assessment to establish the behaviour was exaggerated and inappropriate. However, in cross-examination Dr. Solyom acknowledged that the pain behaviours she observed are those one would expect to see in someone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Second, she wrote of secondary gain factors which are driving the plaintiff. In cross-examination, she conceded that many of the secondary gain factors she lists are in fact, losses if one accepts the plaintiff's reports and others of physical limitations and deprivation of pleasures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Third, with respect to the inconsistencies she observed in the results of the two Beck Depression Inventory testing given days apart, in my opinion they are scarcely inconsistencies. I find the Beck Inventory is not designed to determine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Fourth, she used the Fake Bad Scale (Lees-Haley) using 43 items on the M.M.P.I.-2 for it. Dr. Joy, psycho-logist, whose evidence I find persuasive no longer uses the Fake Bad test, for it creates false findings of malingering. Dr. Solyom's use of that test in the identical way she used it in this case, has been criticized in this Court by Stewart J. in Sangha v. Dahliwal, </w:t>
      </w:r>
      <w:hyperlink r:id="rId683" w:history="1">
        <w:r>
          <w:rPr>
            <w:rFonts w:ascii="arial" w:eastAsia="arial" w:hAnsi="arial" w:cs="arial"/>
            <w:i/>
            <w:color w:val="0077CC"/>
            <w:sz w:val="20"/>
            <w:u w:val="single"/>
            <w:shd w:val="clear" w:color="auto" w:fill="FFFFFF"/>
            <w:lang w:val="en-US" w:eastAsia="en-US" w:bidi="ar-SA"/>
          </w:rPr>
          <w:t>[1998] B.C.J. No. 323</w:t>
        </w:r>
      </w:hyperlink>
      <w:r>
        <w:rPr>
          <w:rFonts w:ascii="arial" w:eastAsia="arial" w:hAnsi="arial" w:cs="arial"/>
          <w:color w:val="000000"/>
          <w:sz w:val="20"/>
          <w:lang w:val="en-US" w:eastAsia="en-US" w:bidi="ar-SA"/>
        </w:rPr>
        <w:t>, Vancouver Registry B952733. At page 9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Solyom is a psychologist, not a medical doctor. She was called to testify by the defendant. I found that her evidence was fundamentally flawed in that at its heart was the use of 43 items on the M.M.P.I.-2 test which she called "Fake Bad Scale for Personal Injury". That "Scale" is not a scale generally recognized within her profession and is in fact something - at this time - that should be ignored for forensic purposes. Her evidence has all the weaknesses of her assumptions and analysis. I give it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Fifth, she wrote and so did Dr. Shojania, that there are no objective findings of physical impairment in the "voluminous files". However, Dr. Hershler who examined the plaintiff more frequently than any other specialist, made objective findings of physical impairment; Dr. Reebye noted in two Reports that she had suffered soft tissue injury. Dr. Solyom had read the Hershler and Reebye Reports before writing her Addendum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Sixth, Dr. Chan administered the M.M.P.I.-2 and other tests. His test results on the M.M.P.I.-2 were essentially those obtained by Dr. Solyom. Dr. Chan took a very different view of the plaintiff; he did not administer the Fake Bad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have viewed the surveillance videos that many doctors viewed. They were taken over four different days in 1997 and four different days in 1998. On some days when she was with family members she moved in a different fashion than she did when she was with Leah Dick, the OT therapist. With Dick, her walk was slow and laboured. Dr. Anderson noted it and said that people with a pain disorder have good and bad days and that has to be taken into account. She told Dr. Anderson that she goes out with the family only on the days when her pain is less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my opinion, the videos do not establish that the plaintiff has exaggerated her physical incapacity.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She may be suffering hypothyroidism affecting her mood and motivation, but it does not account in any significant way for her core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 THE PLAINTIFF'S CONDITION AND ITS GENESIS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Over the years, doctors have given various diagnoses of the plaintiff's condition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disorder, Somatoform Pain Disorder, somatization disorder, chronic pain syndrome, post-traumatic stress syndrome, Pain Disorder secondary to psychological disorder, depression, Major Depression, mood disorder with components of pain, depression and anxiety, a general medical condition and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find the plaintiff suffers a Somatoform Pain Disorder, or a Somatization Disorder and Major Depression, and has so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Her symptoms are not under her voluntary control, they are not intentional. To her the pain is real and it is beyond her power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She is highly susceptible to pain. I suspect the pain resulting from the soft tissue injuries, she felt more acutely than the average person would, having those injuries. The soft tissue injury pain does not now account in any significant way for her present pain symptoms. Her pain is caused by mental/psychological factors which have contributed to the severity and exacerbation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Major Depression often produces cognitive defects, lack of motivation, energy and ambition, all of which the plaintiff has exhibited.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Her condition has its genesis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Before the accident the plaintiff was not suffering a Pain Disorder, chronic pain or depression but she had a predisposition to suffer psychological injury. Stress led to physical reaction. She was under stress in 1991 when she complained to Dr. Aulakh of non-organic physical complaints. Those complaints were not repeated in 1992 before the accident, nor to Dr. Sidhu who treated her in late October and November 1992 for an epigastric complaint and influenza.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accept Dr. Scamvougeras's opinion in respect of her pre-morbid complaints, that if a variety of non-specific complaints are advanced by a person with a tendency to somatize distress, they may be vulnerable to developing a somatoform syndrome. That is Dr. Joy's opinion,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accept Dr. Anderson's opinion that her pre-morbid complaints tells him that she was a "sitting duck" for developing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find the plaintiff was vulnerable for developing the mental/psychological condition she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find the soft tissue injuries sustained in the accident set in motion the condition she now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defendants submit the plaintiff's physical, emotional and psychological problems have not been caused by the defendants' unlawful act but arise from a desire for such things as care, sympathy or compensation because she wishes to have them and does not wish them to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do not agree. The plaintiff is not a malingerer, she has not consciously exaggerated her symptoms. She has not been prompted by conscious secondary gain factors. I agree with her counsel's submission that there is no rational reason for a person who had everything "going for her" to deliberately scuttle her life and wellbeing for sympathy, care and attention when she already had those things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RELATING TO CAUSATION AND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The Court of Appeal has considered the issue of causation in the cases of Maslen v. Rubenstein </w:t>
      </w:r>
      <w:hyperlink r:id="rId51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and Yoshikawa v. Yu, </w:t>
      </w:r>
      <w:hyperlink r:id="rId513"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Vancouver Registry No. CA018695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Psychological factors were present in both cases. In Maslen, Taylor J.A. delivered the judgment of the court. At page 132 he described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appeal [from </w:t>
      </w:r>
      <w:hyperlink r:id="rId684" w:history="1">
        <w:r>
          <w:rPr>
            <w:rFonts w:ascii="arial" w:eastAsia="arial" w:hAnsi="arial" w:cs="arial"/>
            <w:i/>
            <w:color w:val="0077CC"/>
            <w:sz w:val="20"/>
            <w:u w:val="single"/>
            <w:shd w:val="clear" w:color="auto" w:fill="FFFFFF"/>
            <w:lang w:val="en-US" w:eastAsia="en-US" w:bidi="ar-SA"/>
          </w:rPr>
          <w:t>[1989] B.C.J. No. 1683</w:t>
        </w:r>
      </w:hyperlink>
      <w:r>
        <w:rPr>
          <w:rFonts w:ascii="arial" w:eastAsia="arial" w:hAnsi="arial" w:cs="arial"/>
          <w:color w:val="000000"/>
          <w:sz w:val="20"/>
          <w:lang w:val="en-US" w:eastAsia="en-US" w:bidi="ar-SA"/>
        </w:rPr>
        <w:t>] is concerned with those post-traumatic phenomena - sometimes identified with and sometimes distinguished from conditions known as "idiopathic pain disorder", chronic (or chronic benign) pain syndrome", "functional overlay" and "somatoform pain disorder" - which involve continued suffering in accident victims after their physical injuries have healed.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obvious preliminary question in these cases is whether the pain, discomfort or weakness com-plained of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cases in which the trier of fact is not persuaded that the plaintiff does in truth experience the suffering in question have, of course, to be eliminated, for the most by the ordinary tests of credibility. Cases of the sort which then remain involve plaintiffs who are found by the trier of fact to be telling the truth in saying that they continue to suffer when no physical reason for continuation of pain, weakness or dis-comfort can be found. The problems of which these plaintiffs complain must be regarded as having a psychological, rather than physical, explanation, and Mr. Justice Spencer found this to be so in the case of the present plaintiff, Francisca Maslen.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page 134, Taylor J.A. described the Basic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meet the onus which lies on a plaintiff in a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 If a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page 135, Taylor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advice which the plaintiff received or ought to have obtained, the plaintiff could have overcome the problem, or could in future overcome it. The advice might, for instance, be to eliminate treatment, make "life-style changes" or adopt some psychotherapy, physiotherapy or exercise regimen. Where appropriate remedial measures would resolve the problem, damages can, of course, be awarded only in respect of the period up to the date when, in the estimation of the fact-finder, the problem ought to have been resolved, or ought to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principles to be applied are recognized, the rest is a matter for the fact-finder to determine on the basis of the evidence in the case, and it is for this reason that I find little guidance in many of the decisions cited.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particularly helpful, in my view, to ask whether a psychological condition such, for instance, as the "chronic pain syndrome", is "compensable". I say this because there seems to be no settled view within the medical community as to what such diagnoses - sometimes, indeed, called "non-diagnoses" - mean. It is, moreover, unlikely that medical practitioners can answer as a matter of expert opinion, the ultimate questions on which these cases often turn. The court must decide for itself the critical issues of credibility and the balance of probabilities between explanations for the plaintiff's condition. Views expressed by doctors on the plaintiff's reliability, truthfulness or motivation cannot be decisive, for the law requires that these matters be decided by the court itself, and that they be decided on the basis of the evidence given at trial, which is often more extensive than, and sometimes differs markedly from, that on which medical witnesses have formed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At page 136 Taylor J.A.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Yoshikawa v. Yu, Justices Lambert, Cumming and Rowles gave separate Reasons but concurred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Lambert J.A. discussed the issues on the appeal, saying at page 2:</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issue in this appeal relates to the circumstances in which damages should be awarded with respect to symptoms of pain, muscular incapacity and depression which have persisted long after the physical injuries sustained in an accident have healed. For the sake of some consistency of legal terminology, and without any claim to medical accuracy, the plaintiff in this case may be said to have been suffering at the date of trial from "chronic benign pain syndrome".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principal issue was argued as an issue of "causation". Counsel disagreed about the application of this Court's decision in Maslen v. Rubenstein </w:t>
      </w:r>
      <w:hyperlink r:id="rId51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The arguments that were addressed to us require us to consider that decision and to apply the principles there set out consistently with other fundamental principles of the law of torts.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ordinary tort principles, including causation principles relating to cause-in-fact, proximate cause and intervening cause, are not set aside by the specific rules developed by Mr. Justice Taylor in Maslen v. Rubenstein. Instead, those rules represent particular applications of ordinary tort principles. An understanding of the Maslen rules is assisted by reference to the tort foundations on which the Maslen rules rest. Accordingly, I have addressed the relationship between the Maslen rules and the more general tort principles of causation in Part V of these reasons, and I have applied my conclusions to my consider-ation of the reasons of Mr. Justice Trainor, the trial judge, in Part VI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Justice Lambert summarized the Maslen decision and said at page 5:</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will beyond the recovery period, but the plaintiff's own evidence, if consistent with the surrounding circumstances, may nevertheless suffice for the purpose.</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Justice Lambert discussed the principles, saying:</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w:t>
      </w:r>
      <w:r>
        <w:rPr>
          <w:rFonts w:ascii="arial" w:eastAsia="arial" w:hAnsi="arial" w:cs="arial"/>
          <w:color w:val="000000"/>
          <w:sz w:val="20"/>
          <w:u w:val="single"/>
          <w:lang w:val="en-US" w:eastAsia="en-US" w:bidi="ar-SA"/>
        </w:rPr>
        <w:t>In my opinion there is no basis for giving a more restrictive application to this principle in cases where psychological injuries are suffered than would be given in cases where only physical injuries are suffered. A predisposition to suffer psychological injury in circumstances such as those brought about in a particular case by a defendant's wrongful act does not relieve the defendant of the liability to compensate the plaintiff for the injuries represented by those psychological symptoms</w:t>
      </w:r>
      <w:r>
        <w:rPr>
          <w:rFonts w:ascii="arial" w:eastAsia="arial" w:hAnsi="arial" w:cs="arial"/>
          <w:color w:val="000000"/>
          <w:sz w:val="20"/>
          <w:lang w:val="en-US" w:eastAsia="en-US" w:bidi="ar-SA"/>
        </w:rPr>
        <w:t xml:space="preserve">. Such relief could only occur, as I have said, if the psychological symptoms would have occurred in any event, even without the defendant's wrongful act, through an application of the cause-in-fact test. Examples of the application of the "thin skull" principle to the award of damages for psychological symptoms in circumstances where there was an existing predisposition include Enge v. Trerise </w:t>
      </w:r>
      <w:hyperlink r:id="rId685" w:history="1">
        <w:r>
          <w:rPr>
            <w:rFonts w:ascii="arial" w:eastAsia="arial" w:hAnsi="arial" w:cs="arial"/>
            <w:i/>
            <w:color w:val="0077CC"/>
            <w:sz w:val="20"/>
            <w:u w:val="single"/>
            <w:shd w:val="clear" w:color="auto" w:fill="FFFFFF"/>
            <w:lang w:val="en-US" w:eastAsia="en-US" w:bidi="ar-SA"/>
          </w:rPr>
          <w:t>(1960), 26 D.L.R. (2d) 529</w:t>
        </w:r>
      </w:hyperlink>
      <w:r>
        <w:rPr>
          <w:rFonts w:ascii="arial" w:eastAsia="arial" w:hAnsi="arial" w:cs="arial"/>
          <w:color w:val="000000"/>
          <w:sz w:val="20"/>
          <w:lang w:val="en-US" w:eastAsia="en-US" w:bidi="ar-SA"/>
        </w:rPr>
        <w:t xml:space="preserve"> (B.C.C.A.), Cotic v. Gray </w:t>
      </w:r>
      <w:hyperlink r:id="rId686" w:history="1">
        <w:r>
          <w:rPr>
            <w:rFonts w:ascii="arial" w:eastAsia="arial" w:hAnsi="arial" w:cs="arial"/>
            <w:i/>
            <w:color w:val="0077CC"/>
            <w:sz w:val="20"/>
            <w:u w:val="single"/>
            <w:shd w:val="clear" w:color="auto" w:fill="FFFFFF"/>
            <w:lang w:val="en-US" w:eastAsia="en-US" w:bidi="ar-SA"/>
          </w:rPr>
          <w:t>(1981), 17 C.C.L.T. 138</w:t>
        </w:r>
      </w:hyperlink>
      <w:r>
        <w:rPr>
          <w:rFonts w:ascii="arial" w:eastAsia="arial" w:hAnsi="arial" w:cs="arial"/>
          <w:color w:val="000000"/>
          <w:sz w:val="20"/>
          <w:lang w:val="en-US" w:eastAsia="en-US" w:bidi="ar-SA"/>
        </w:rPr>
        <w:t xml:space="preserve"> (Ont. C.A.), Elloway v. Boomars </w:t>
      </w:r>
      <w:hyperlink r:id="rId687"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and Marconato v. Franklin, </w:t>
      </w:r>
      <w:hyperlink r:id="rId688" w:history="1">
        <w:r>
          <w:rPr>
            <w:rFonts w:ascii="arial" w:eastAsia="arial" w:hAnsi="arial" w:cs="arial"/>
            <w:i/>
            <w:color w:val="0077CC"/>
            <w:sz w:val="20"/>
            <w:u w:val="single"/>
            <w:shd w:val="clear" w:color="auto" w:fill="FFFFFF"/>
            <w:lang w:val="en-US" w:eastAsia="en-US" w:bidi="ar-SA"/>
          </w:rPr>
          <w:t>[1974] 6 W.W.R. 676</w:t>
        </w:r>
      </w:hyperlink>
      <w:r>
        <w:rPr>
          <w:rFonts w:ascii="arial" w:eastAsia="arial" w:hAnsi="arial" w:cs="arial"/>
          <w:color w:val="000000"/>
          <w:sz w:val="20"/>
          <w:lang w:val="en-US" w:eastAsia="en-US" w:bidi="ar-SA"/>
        </w:rPr>
        <w:t xml:space="preserve"> (B.C.S.C.).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page 7, Lambert J.A. said:</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propose to make three further observations before leaving this discussion of the principles governing the awarding of damages for psychological symptoms experienced by the victim of a tortious act.</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first observation is that I think it is correct to treat a plaintiff's own conscious wish to receive care, comfort and attention, or the plaintiff's own conscious failure to exercise his or her willpower to bring about a healing of the symptoms, as coming within the principle of new intervening acts, and to treat those occurrences as giving such a sufficient new impetus or deflection to the chain of causation as to render the original wrongful act no longer a proximate cause. But if the plaintiff's wish to receive care, comfort and attention is accepted as being entirely unconscious and contrary to the plaintiff's own apparent efforts to attain a healing of the symptoms, or if the plaintiff's own failure to exercise his or her own willpower is unconscious and contrary to the plaintiff's own apparent efforts to attain a healing of the symptoms, then I would not be prepared to say that the plaintiff is still excluded from compens-ation for the psychological symptoms. In short, I think that the word "conscious" is implicit in points 3, 4, 5, and 6 that I have extracted from Mr. Justice Taylor's reasons in Maslen.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second observation arises from the concur-ring reasons of Madam Justice Wilson, sitting in the Ontario Court of Appeal, in Cotic v. Gray. Madam Justice Wilson said, first, that the foreseeability test for remoteness of damage and the thin skull principle cannot co-exist in relation to psycho-logical symptoms either directly brought about by the accident or triggered by the accident on the foundation of a predisposition to suffer such symptoms.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Madam Justice Wilson emphasized, second, that in a thin skull case, that is, a case of pre-existing vulnerability, the occurrence of the psychological symptoms should not, without more, be regarded as arising from a new sufficient cause in the nature of a </w:t>
      </w:r>
      <w:r>
        <w:rPr>
          <w:rFonts w:ascii="arial" w:eastAsia="arial" w:hAnsi="arial" w:cs="arial"/>
          <w:color w:val="000000"/>
          <w:sz w:val="20"/>
          <w:u w:val="single"/>
          <w:lang w:val="en-US" w:eastAsia="en-US" w:bidi="ar-SA"/>
        </w:rPr>
        <w:t>novus actus interveniens</w:t>
      </w:r>
      <w:r>
        <w:rPr>
          <w:rFonts w:ascii="arial" w:eastAsia="arial" w:hAnsi="arial" w:cs="arial"/>
          <w:color w:val="000000"/>
          <w:sz w:val="20"/>
          <w:lang w:val="en-US" w:eastAsia="en-US" w:bidi="ar-SA"/>
        </w:rPr>
        <w:t>. Madam Justice Wilson said this, at p. 180: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inappropriate in a thin skull case to view the peculiar vulnerability of the victim as causative in law. Undoubtedly, as a factual matter the deceased's psychiatric condition played a role in his subsequent suicide but the law would be taking away with one hand what it had given with the other if it were to permit the victim's peculiar vulnerability to break the causal chain, or constitute a </w:t>
      </w:r>
      <w:r>
        <w:rPr>
          <w:rFonts w:ascii="arial" w:eastAsia="arial" w:hAnsi="arial" w:cs="arial"/>
          <w:color w:val="000000"/>
          <w:sz w:val="20"/>
          <w:u w:val="single"/>
          <w:lang w:val="en-US" w:eastAsia="en-US" w:bidi="ar-SA"/>
        </w:rPr>
        <w:t>novus actus interveniens</w:t>
      </w:r>
      <w:r>
        <w:rPr>
          <w:rFonts w:ascii="arial" w:eastAsia="arial" w:hAnsi="arial" w:cs="arial"/>
          <w:color w:val="000000"/>
          <w:sz w:val="20"/>
          <w:lang w:val="en-US" w:eastAsia="en-US" w:bidi="ar-SA"/>
        </w:rPr>
        <w:t xml:space="preserve"> or, worse still, be treated as the effective cause of his damage. I do not think it was open to the jury to view the motor vehicle accident and the deceased's psychiatric condition as separate or concurring "causes" and to choose between them which was the "effective cause" of the death. Given the deceased's pre-existing mental frailty, the medical evidence referred to by my learned colleague established beyond peradventure that the accident and its effect upon Mr. Cotic drove him to his death.</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with those conclusions of Madam justice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At page 8, Mr. Justice Lambert continued:</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there are two different types of psychological symptoms that may be covered by the principles that are here being discussed. There are those where the psychological symptoms have their origin entirely in the defendant's wrongful act. Clearly they are compensable. And there are those psychological symptoms where the defendant's wrongful act triggers a pre-existing psychological condition so that both the defendant's wrongful act and the pre-existing condition are causes-in-fact of the psychological injury. In the latter cases the psychological injury will be compensable on the basis of a pre-existing thin skull except only in cases where the psychological problem is so dominant as a pre-existing condition and the injuries sustained in the accident are so trivial that the accident can no longer be said to be a sufficient cause in law to support an award of damages on the basis of proximate cause.</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difficulty accepting that there will be any cases in which it could be said that damages should be refused on the basis that the injury suffered in the accident was merely the subject on which the victim's mind has happened to focus or fixate, when it cannot also be said that if the accident had not happened something else would have provided the trigger for the focussing or fixating so that the psychological symptoms would have occurred in any event and the cause-in-fact test would not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Rowles J.A. said at page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long-standing principle in tort law that if the wrong is established, the wrongdoer must take the victim as he finds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nothing said in Maslen is inconsistent with the principle that a victim may claim damages for the entire harm to his or her person even though, owing to some special sensitivity, the harm was greater than that suffered by the ordinary person, and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am not persuaded that the plaintiff's mental disorder would have occurred in any event, without the defendants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In Janiak v. Ippolito, </w:t>
      </w:r>
      <w:hyperlink r:id="rId58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the court considered a failure to take reasonable treatment for injuries sustained in an accident, and discussed that refusal in the context of a pre-existing infirmity.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These were the facts: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plaintiff Janiak suffered a disc protrusion of the cervical spine. Recommended treatment was surgical excision of the disc with spinal fusion. That treatment entailed an approximate 70% recovery and, if successful, could result in an almost 100% recovery which would have permitted the plaintiff to return to his work. The plaintiff had a great fear of surgery of any kind and insisted on a 100% chance of success before undergoing the surgery; his doctors could not guarantee that result and the plaintiff refused to have the surgery, remaining disabled and out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trial judge found the plaintiff's refusal to have surgery was unreasonable saying that an individual has a duty to mitigate his loss by obtaining proper medical treat-ment and he is not entitled to damages in respect of any pain, suffering, loss of amenities or of earning capacity consequent upon an unreasonable refusal to undergo medical treatment or surgical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Court of Appeal, by majority decision, agreed with the trial judge but differed in his calculation of damages for lost earnings. An appeal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Supreme Court of Canada upheld the decision of the trial judge and the Court of Appeal. Wilson J. delivered the judgment of the Court and referred to English and Australian case law. She discussed the Thin Skull Doctrine as it applied to the issue. At page 152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difficult issue which arises in assessing the reasonableness or otherwise of a plaintiff's refusal of medical treatment is the extent, if any, to which subjective attributes of the plaintiff may be taken into account by the court. In the case at bar it was submitted by the respondent that, whether or not his refusal of treatment was perceived as objectively unreasonable, its source lay in an innate fear of surgery which he could not be expected to overcome,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well established that damages for aggravated injuries consequent on some pre-existing infirmity of the plaintiff are recoverable even if the infirmity is of a psychological nature: see, e.g. Love v. Port of London Authority, [1959] 2 Lloyd's Rep. 541 (Q.B.); Gray v. Cotic, </w:t>
      </w:r>
      <w:hyperlink r:id="rId689" w:history="1">
        <w:r>
          <w:rPr>
            <w:rFonts w:ascii="arial" w:eastAsia="arial" w:hAnsi="arial" w:cs="arial"/>
            <w:i/>
            <w:color w:val="0077CC"/>
            <w:sz w:val="20"/>
            <w:u w:val="single"/>
            <w:shd w:val="clear" w:color="auto" w:fill="FFFFFF"/>
            <w:lang w:val="en-US" w:eastAsia="en-US" w:bidi="ar-SA"/>
          </w:rPr>
          <w:t>[1983] 2 S.C.R. 2</w:t>
        </w:r>
      </w:hyperlink>
      <w:r>
        <w:rPr>
          <w:rFonts w:ascii="arial" w:eastAsia="arial" w:hAnsi="arial" w:cs="arial"/>
          <w:color w:val="000000"/>
          <w:sz w:val="20"/>
          <w:lang w:val="en-US" w:eastAsia="en-US" w:bidi="ar-SA"/>
        </w:rPr>
        <w:t>. As Geoffrey Lane J. said in Malcolm v. Broadhurst, [1970] 3 All E.R. 508, at p. 511, "there is no difference in principle between an egg-shell skull and an egg-shell personality". Indeed, it would seem that the locus classicus of the "thin skull rule", the decision of Kennedy J. in Dulieu v. White &amp; Sons, [1901] 2 K.B. 669 was in fact a case of aggravated injuries which were triggered by the impact of the defendant's tortious act on the plaintiff's inchoate psychological hypersensitivity.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key word, however, is pre-existing. Once it is acknowledged that there is such a thing as a "psychological thin skull", the inquiry shifts to (a) the timing and (b) the nature of the alleged psychological infirmity.</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timing, it would seem that the very concept of a thin skulled plaintiff embodies within it the notion that the oversensitive condition was pre-existing at the time of the injury. That is to say, where the ultimate consequence of which the plaintiff complains is not due to the impact of the defendant's wrongful act on some existing sensitivity of the plaintiff, but rather arises only subsequent to the injury and independent of any intrinsic physiological or psychological problem for which the tortious act has served as a catalyst, the ordinary rules of recoverability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page 154, Wilson J.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dichotomy must presumably apply to cases of a psychological thin skulled plaintiff. A significant distinction has to be made between persons who subsequent to an accident develop an emotional or psychological infirmity and those who bring a pre-existing emotional or psychological infirmity to the accident. The question posed by the kind of case we have here is: do persons in the latter group have to meet the objective test of reasonableness when their refusal of medical help is being assessed by the trier of fact or are their subjective attributes to be given due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Wilson J. discussed the English decision in Marcroft v. Scruttons, Ltd., [1954] 1 Lloyd's Rep. 395 (C.A.) and contrasted it to the decision of McIntyre J. (as he then was) saying at page 156 and 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way of contrast, in Elloway v. Boomars </w:t>
      </w:r>
      <w:hyperlink r:id="rId687"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the plaintiff who suffered minor injuries in an automobile accident developed a psychosis of a schizophrenic nature which by the time of trial was largely disabling. McIntyre J. found on the medical evidence that the plaintiff suffered from a pre-existing condition which predisposed him to schizophrenic illness and that the accident, operating on that predisposition, brought about the full schizophrenic illness. The plaintiff had been advised to take treatment for his condition but he refused. McIntyre J. concluded, however, that his psychosis was itself a factor in his refusal and he could not therefore be held responsible for the worsening of his condition. Damages must be assessed on the basis that he had not wilfully failed in his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At page 158 Wilson J.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then on the English authorities that a psychological "thin skull" developed subsequent to the tortuous act is not a factor that can be considered in relation to reasonableness: the objective test prevails in the absence of any pre-existing condition.</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element that has to be considered in determining whether the objective test of reason-ableness applies to the decision made by the alleged thin skulled plaintiff is the nature of the pre-existing psychological infirmity. It is evident that not every pre-existing state of mind can be said to amount to a psychological thin skull. It seems to me that the line must be drawn between those plaintiffs who are capable of making a rational decision regarding their own care and those who, due to some pre-existing psychological con-dition, are not capable of making such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At page 160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their text on Personal Injury Damages in Canada (1981) Professors Cooper-Stephenson and Saunders point out that no clear position has emerged from the Canadian jurisprudence in this area although cases such as Elloway, supra, and McGrath </w:t>
      </w:r>
      <w:hyperlink r:id="rId690" w:history="1">
        <w:r>
          <w:rPr>
            <w:rFonts w:ascii="arial" w:eastAsia="arial" w:hAnsi="arial" w:cs="arial"/>
            <w:i/>
            <w:color w:val="0077CC"/>
            <w:sz w:val="20"/>
            <w:u w:val="single"/>
            <w:shd w:val="clear" w:color="auto" w:fill="FFFFFF"/>
            <w:lang w:val="en-US" w:eastAsia="en-US" w:bidi="ar-SA"/>
          </w:rPr>
          <w:t>(1974), 6 Nfld. &amp; P.E.I.R. 203</w:t>
        </w:r>
      </w:hyperlink>
      <w:r>
        <w:rPr>
          <w:rFonts w:ascii="arial" w:eastAsia="arial" w:hAnsi="arial" w:cs="arial"/>
          <w:color w:val="000000"/>
          <w:sz w:val="20"/>
          <w:lang w:val="en-US" w:eastAsia="en-US" w:bidi="ar-SA"/>
        </w:rPr>
        <w:t xml:space="preserve">, suggest that a plaintiff in Canada may not be held to an objective standard of reasonableness which it is beyond his capacity to attain. This position would appear to most appropriately complement Fleming's assertion that where a plaintiff does not suffer from a constitutional incapacity to act reasonably he cannot make the defendant bear the burden of his unreasonable behaviour. </w:t>
      </w:r>
      <w:r>
        <w:rPr>
          <w:rFonts w:ascii="arial" w:eastAsia="arial" w:hAnsi="arial" w:cs="arial"/>
          <w:color w:val="000000"/>
          <w:sz w:val="20"/>
          <w:u w:val="single"/>
          <w:lang w:val="en-US" w:eastAsia="en-US" w:bidi="ar-SA"/>
        </w:rPr>
        <w:t>Thus, the analytic focus in each case is on the capacity of the plaintiff to make a reasonable choice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find that the plaintiff has an "egg-shell personality" described by Lambert J.A. in Yoshikawa v. Yu (at p. 110, supra). That personality was part of her psychological profile before the 1992 accident. It manifested itself in her complaints to Dr. Aulakh in 1991. It is a psychological condition and one of its principal characteristics is an acute sensitivity to pain. The pain is not faked, not consciously exaggerated, it is real. She avoided activity and treatment that increased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my opinion, the plaintiff did not have the capacity to make a reasonable choice in respect to treatment. Sadly for her, it is one of the factors that likely will prevent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plaintiff has been unable to work since August 1994 and it is probable that she will not be able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Anyone looking to hire an employee experienced in the business of freight forwarding would not choose the plaintiff. Her skills are staledated, she is an invalid and shows it. She looks many years older than she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prognosis for any significant improvement is not favourable. If she is treated physically and with a pain program, it will not cure the pain; at best, it will teach her to cope with it. She may experience a modest improvement when the litigation is over - in Dr. Joy's opinion, perhaps in the order of 5 - 10% improvement. In my opinion, any improvement from any source will not be sufficient to enable her to work in the future. Her economic loss is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But for the accident, I expect she would have continued to work for she enjoyed it. She earned only a modest income, she did not hold a management position and I find, would not have in the future. Her earnings until she resigned are the measure for damages for loss of opportunity to earn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AWARDS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rely on two cases where psychological injuries resulted from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Whatley v. Badshah, </w:t>
      </w:r>
      <w:hyperlink r:id="rId691" w:history="1">
        <w:r>
          <w:rPr>
            <w:rFonts w:ascii="arial" w:eastAsia="arial" w:hAnsi="arial" w:cs="arial"/>
            <w:i/>
            <w:color w:val="0077CC"/>
            <w:sz w:val="20"/>
            <w:u w:val="single"/>
            <w:shd w:val="clear" w:color="auto" w:fill="FFFFFF"/>
            <w:lang w:val="en-US" w:eastAsia="en-US" w:bidi="ar-SA"/>
          </w:rPr>
          <w:t>[1991] B.C.J. No. 2743</w:t>
        </w:r>
      </w:hyperlink>
      <w:r>
        <w:rPr>
          <w:rFonts w:ascii="arial" w:eastAsia="arial" w:hAnsi="arial" w:cs="arial"/>
          <w:color w:val="000000"/>
          <w:sz w:val="20"/>
          <w:lang w:val="en-US" w:eastAsia="en-US" w:bidi="ar-SA"/>
        </w:rPr>
        <w:t xml:space="preserve"> (B.C.S.C.), Donald J. (as he then was) awarded the plaintiff $125,000 for non-pecuniary damages. The plaintiff injured in a serious motor vehicle accident suffered physical injuries and a psychiatric disorder. Donald J. found that he was "genuinely captive by his psychiatric disorder and that he needs the company of a trusted person to function in life, outside 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psychiatric disorder prevented him working, being able to pursue leisure interests and live his life independently and he would need psychiatric care indefinitely. Future treatment could remove but not cure his ailment. Donald J. found those features distinguish the case from those involving chronic pain from soft tissue injuries.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Allowing for some reasonable prospect of modest improvement and taking into account his physical injuries which were resolved shortly after the accident, I award the sum of $125,000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In Anson v. Karoway, </w:t>
      </w:r>
      <w:hyperlink r:id="rId692" w:history="1">
        <w:r>
          <w:rPr>
            <w:rFonts w:ascii="arial" w:eastAsia="arial" w:hAnsi="arial" w:cs="arial"/>
            <w:i/>
            <w:color w:val="0077CC"/>
            <w:sz w:val="20"/>
            <w:u w:val="single"/>
            <w:shd w:val="clear" w:color="auto" w:fill="FFFFFF"/>
            <w:lang w:val="en-US" w:eastAsia="en-US" w:bidi="ar-SA"/>
          </w:rPr>
          <w:t>[1997] B.C.J. No. 1850</w:t>
        </w:r>
      </w:hyperlink>
      <w:r>
        <w:rPr>
          <w:rFonts w:ascii="arial" w:eastAsia="arial" w:hAnsi="arial" w:cs="arial"/>
          <w:color w:val="000000"/>
          <w:sz w:val="20"/>
          <w:lang w:val="en-US" w:eastAsia="en-US" w:bidi="ar-SA"/>
        </w:rPr>
        <w:t xml:space="preserve"> (B.C.S.C.) Burnyeat J. awarded $105,000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 suffered soft tissue injuries and a permanent TMJ dysfunction arising from a motor vehicle collision. She also suffered psychological injury, diagnosed as post-traumatic stress disorder with chronic depression and pain. The stress disorder was chronic and permanent. Burnyeat J. said at page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and I hold that the reaction to the motor vehicle accident has been "unexpectedly severe" as a result of the psychological make-up of the plaintiff but there is no evidence before me which would suggest that the "crumbling skull" doctrine is applicable. Rather I hold that the "thin skull" doctrine prevails and that the plaintiff should be compensated even though her losses are more dramatic than what might have been expected in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With respect to future employment, Burnyeat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direct result of the accident, what I would describe as an ideal employee has been incapacitated to the extent that she is not in a position to compete in the labour market. Just as I am satisfied that she will not work on a full-time basis in the future, I am also satisfied that she cannot and will not be able to work on a part-time basis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For non-pecuniary damages, I award the plaintiff Mahar Khairati, --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CARE COSTS AND SPECIALS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In the plaintiff's claim for special damages are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019"/>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 Physio, Massage and</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$541.81</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Chiropractic Fees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823"/>
        <w:gridCol w:w="104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Master Home Gym</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238.01</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(U.S.)</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3346"/>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Cane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28.98</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defendants agree to pay for psychological counselling from Dr. Chan's office, physiotherapy, massage and chiropractic. They quarrel with some of the medication cost, submitting it appears to either pre-date the accident or relate to medical conditions not associated with the injuries sustained in the accident. They say that the Master Home Gym was never used and there was no reason for her to buy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cannot make a finding with respect to the medication for the defendants give no particulars. I disagree that the Master Home Gym was never used. The plaintiff, her husband and Zaibul Nisha testified it was used during the plaintiff's pregnancy and I accept their evidence. A cane was requisitioned by Dr. Aulakh and has been used by the plaintiff since 1995. The surveillance videos show her using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defendants' quarrel with the plaintiff's claim for home help services and a live-in care giver, submitting the plaintiff had employed a nanny and home care services since 1987. That is so, when she was working. However the plaintiff's claim relates to her expenses for those two services commencing in 1995 and onwards when her condition prevented her caring for the home and her children. The expense has been necessary. Mr. Khairati helped at home and to do so, took time away from his work. No claim has been advanced by him for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 concedes that likely she would have needed the services of a nanny until Farhaaz started kindergarten, assuming she had not been injured and continued to work and the amount they paid to a caregiver/nanny should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For Past Care and Specials, I award the plaintiff -- $39,454.70 together with prejudgment interest on this amount at Registrar's rates.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(If I have misunderstood the plaintiff's claim under this Part, the matter may be addressed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Report of G.F. Taunton of PETA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Mr. Taunton is a consulting economist. He has prepared a report calculating Past and Future employment income loss. The defendants do not, of course admit that the plaintiff suffered the losses, but have not quarrelled with Mr. Taunton's qualifications to produce the report nor with his calculations of loss, assuming that the plaintiff's claim is recognized by the court for these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In calculating the plaintiff's income loss, Mr. Taunton has allowed for these negative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Non-participation in the labour force, unemployment, part-time work and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 Taunton calculates her past loss of employment income to be $161,944 and her future income loss to age 65, to be $459,626.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plaintiff received these collateral benefits: - Unemployment Insurance (EI) disability benefits from September 11th, 1994 until December 24th, 1994; from December 25th, 1994 to March 1995 she received Unemployment Insurance maternity benefits; from December 1994 through to and including January 2000, she received Canada Pension Plan Disability benefits and Child benefits under the CPP Disability Plan. The benefits under the CPP Disability and Child benefit plan total $78,622.05.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In taxation year 1995, she received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defendants submit that from any award for past wage loss, all collateral benefits must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Until Ratych v. Bloomer, </w:t>
      </w:r>
      <w:hyperlink r:id="rId538"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collateral benefits, regardless of their source were not deducted from damage awards. In Ratych, the Supreme Court of Canada established that certain collateral benefits should be deducted from damage awards on the rationale that a plaintiff should not receive "double recovery". In Ratych, the plaintiff, a peace officer had received full pay during his absence pursuant to a collective agreement. McLachlin J. (as she then was) said at page 982: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wage benefits paid while a plaintiff is unable to work must be brought into account and deducted from the claim for lost earnings. An exception to this rule may lie where the court is satisfied that the employer or fund which paid the wage benefits is entitled to be reimbursed by them on the principle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McLachlin J. limited the scope of the general rule, saying at page 983: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comments should not be taken as extending to types of collateral benefits other than lost earnings, such as insurance paid for by the plaintiff and gratuitous payments made by third parties.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She found that the benefits received by Ratych could not be equated with an insurance type situation since no cost for such "insurance" could be traced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issue was revisited by the Supreme Court of Canada four years later in Cunningham v. Wheeler, </w:t>
      </w:r>
      <w:hyperlink r:id="rId693"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Before the Supreme Court of Canada were three appeals from the British Columbia Court of Appeal in which that Court had followed Ratych and deducted certain disability benefits paid under a collective bargaining agreement from the plaintiff's damage awards. Cory J. writing for the majority, limited Ratych to placing an evidentiary burden upon the plaintiffs to establish they had paid for the provision of disability benefits. In all three appeals, Cory J. found evidence of payment which moved them out of the realm of Ratych and placed them within an exception from deduction for private policies of insurance first recognized in Bradburn v. Great Western Railway Co. (1874), [1874-80] All E.R. Rep. 195 (Ex.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Since Ratych and Cunningham, I find the law in terms of deductibility of collateral benefits can be summarized:</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McLachlin J.'s rule in Ratych states that when a plaintiff receives a wage benefit under an agreement from which no direct cost to the plaintiff can be traced the benefit should be deducted, unless the court is satisfied that the employer or fund which paid the wage benefit is entitled to be reimbursed for it on the principle of subrogation.</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plaintiff receives a wage benefit at an actual cost then the benefit should be deducted minus the actual cost (see Ratych p. 972). For example, if a plaintiff had to give up sick days in order to receive a benefit then the plaintiff would be compensated for the lost sick days.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plaintiff receives collateral benefits from an insurance policy in which direct costs can be traced to that plaintiff then such benefits are not deductible. This is the "insurance exception".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plaintiff receives collateral benefits from a charitable source this is not deductible. This is the "charity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rationale for the "insurance exception" has changed over time, but the currently accepted rationale for the exception is that a defendant should not benefit from the plaintiff's foresight and prudence of obtaining personal insurance at a personal cost (see Ratych, at p. 972). The rationale for the "charity exception" is twofold in that (1) benefactors should not be discouraged from aiding those in misfortune, and (2) it is practically impossible to value such aid (see Cunningham at p. 370).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Do the collateral benefits the plaintiff received fall within one or more of those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 find that the Canada Pension Plan Disability Benefits properly fit within the "insurance exception" and therefore should not be deducted from any damage award. The Canada Pension Plan is set up in the same manner as an insurance plan and direct costs can easily be traced to the plaintiff. This position is supported by high authority. The Supreme Court of Canada in Gill Estate v. Canadian Pacific Ltd., </w:t>
      </w:r>
      <w:hyperlink r:id="rId694"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decided that Canada Pension Plan benefits fall under the "insurance exception" and thus should not be deducted from damage award. I note that the Supreme Court of Canada in Ratych and Cunningham did not alter the decision in Gill, in any way. As a result of its continued applicability Gill has been followed in British Columbia in two relatively recent Court of Appeal decisions: Hayre v. Walz </w:t>
      </w:r>
      <w:hyperlink r:id="rId695" w:history="1">
        <w:r>
          <w:rPr>
            <w:rFonts w:ascii="arial" w:eastAsia="arial" w:hAnsi="arial" w:cs="arial"/>
            <w:i/>
            <w:color w:val="0077CC"/>
            <w:sz w:val="20"/>
            <w:u w:val="single"/>
            <w:shd w:val="clear" w:color="auto" w:fill="FFFFFF"/>
            <w:lang w:val="en-US" w:eastAsia="en-US" w:bidi="ar-SA"/>
          </w:rPr>
          <w:t>(1992), 67 B.C.L.R. (2d) 296</w:t>
        </w:r>
      </w:hyperlink>
      <w:r>
        <w:rPr>
          <w:rFonts w:ascii="arial" w:eastAsia="arial" w:hAnsi="arial" w:cs="arial"/>
          <w:color w:val="000000"/>
          <w:sz w:val="20"/>
          <w:lang w:val="en-US" w:eastAsia="en-US" w:bidi="ar-SA"/>
        </w:rPr>
        <w:t xml:space="preserve"> and Knowles Estate v. Walton Estate </w:t>
      </w:r>
      <w:hyperlink r:id="rId696" w:history="1">
        <w:r>
          <w:rPr>
            <w:rFonts w:ascii="arial" w:eastAsia="arial" w:hAnsi="arial" w:cs="arial"/>
            <w:i/>
            <w:color w:val="0077CC"/>
            <w:sz w:val="20"/>
            <w:u w:val="single"/>
            <w:shd w:val="clear" w:color="auto" w:fill="FFFFFF"/>
            <w:lang w:val="en-US" w:eastAsia="en-US" w:bidi="ar-SA"/>
          </w:rPr>
          <w:t>(1992), 69 B.C.L.R. (2d) 139</w:t>
        </w:r>
      </w:hyperlink>
      <w:r>
        <w:rPr>
          <w:rFonts w:ascii="arial" w:eastAsia="arial" w:hAnsi="arial" w:cs="arial"/>
          <w:color w:val="000000"/>
          <w:sz w:val="20"/>
          <w:lang w:val="en-US" w:eastAsia="en-US" w:bidi="ar-SA"/>
        </w:rPr>
        <w:t xml:space="preserve">. This Court is bound by those decisions and therefore, I find that the Canada Pension Plan Disability Benefits should not be deducted from the plaintiff's damage award. I note that this Court did deduct Canada Pension Plan Disability Benefits from a damage award in Gindis v. Brisbourne, </w:t>
      </w:r>
      <w:hyperlink r:id="rId697" w:history="1">
        <w:r>
          <w:rPr>
            <w:rFonts w:ascii="arial" w:eastAsia="arial" w:hAnsi="arial" w:cs="arial"/>
            <w:i/>
            <w:color w:val="0077CC"/>
            <w:sz w:val="20"/>
            <w:u w:val="single"/>
            <w:shd w:val="clear" w:color="auto" w:fill="FFFFFF"/>
            <w:lang w:val="en-US" w:eastAsia="en-US" w:bidi="ar-SA"/>
          </w:rPr>
          <w:t>[1997] B.C.J. No. 1479</w:t>
        </w:r>
      </w:hyperlink>
      <w:r>
        <w:rPr>
          <w:rFonts w:ascii="arial" w:eastAsia="arial" w:hAnsi="arial" w:cs="arial"/>
          <w:color w:val="000000"/>
          <w:sz w:val="20"/>
          <w:lang w:val="en-US" w:eastAsia="en-US" w:bidi="ar-SA"/>
        </w:rPr>
        <w:t xml:space="preserve">. The Court in Gindis did not give reasons for this deduction and the appeal of the case was allowed on a different ground. (See Gindis v. Brisbourne, </w:t>
      </w:r>
      <w:hyperlink r:id="rId698" w:history="1">
        <w:r>
          <w:rPr>
            <w:rFonts w:ascii="arial" w:eastAsia="arial" w:hAnsi="arial" w:cs="arial"/>
            <w:i/>
            <w:color w:val="0077CC"/>
            <w:sz w:val="20"/>
            <w:u w:val="single"/>
            <w:shd w:val="clear" w:color="auto" w:fill="FFFFFF"/>
            <w:lang w:val="en-US" w:eastAsia="en-US" w:bidi="ar-SA"/>
          </w:rPr>
          <w:t>[2000] B.C.J. No. 162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Similarly, I find that the Unemployment Insurance Benefits also fall within the "insurance exception" since such benefits flow from an insurance scheme in which direct costs can be easily traced to the plaintiff. In Hayre, Gibbs J.A. writing for the Court of Appeal decided that since he was unable to detect any difference in principle between Canada Pension Plan Benefits and Unemployment Insurance Benefits, he must "conclude that the Gill finding applies also to the Unemployment Insurance Benefit." (Gill at 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I note that Jenkins J. of the Prince Edward Island Supreme Court in Boertien v. Carter, </w:t>
      </w:r>
      <w:hyperlink r:id="rId699" w:history="1">
        <w:r>
          <w:rPr>
            <w:rFonts w:ascii="arial" w:eastAsia="arial" w:hAnsi="arial" w:cs="arial"/>
            <w:i/>
            <w:color w:val="0077CC"/>
            <w:sz w:val="20"/>
            <w:u w:val="single"/>
            <w:shd w:val="clear" w:color="auto" w:fill="FFFFFF"/>
            <w:lang w:val="en-US" w:eastAsia="en-US" w:bidi="ar-SA"/>
          </w:rPr>
          <w:t>[1995] P.E.I.J. No. 144</w:t>
        </w:r>
      </w:hyperlink>
      <w:r>
        <w:rPr>
          <w:rFonts w:ascii="arial" w:eastAsia="arial" w:hAnsi="arial" w:cs="arial"/>
          <w:color w:val="000000"/>
          <w:sz w:val="20"/>
          <w:lang w:val="en-US" w:eastAsia="en-US" w:bidi="ar-SA"/>
        </w:rPr>
        <w:t>, did apply the principle of deductibility in Ratych to Employment Insurance. He found that the Employment Insurance Benefits annually collected by the plaintiff who was a seasonal worker do not "have the characteristics of a benefit in the nature of a private policy of insurance", (Boertien at para. 93). This decision can be distinguished on its facts since the plaintiff at bar cannot be characterized as a seasonal worker who uses Employment Insurance as "an integral component of workforce income" (Boertien at para. 95). In my opinion Boertien must be restricted to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Even if it could be said that Jenkins J.'s decision has merit in our situation, Section 45 of the Employment Insurance Act </w:t>
      </w:r>
      <w:hyperlink r:id="rId700" w:history="1">
        <w:r>
          <w:rPr>
            <w:rFonts w:ascii="arial" w:eastAsia="arial" w:hAnsi="arial" w:cs="arial"/>
            <w:i/>
            <w:color w:val="0077CC"/>
            <w:sz w:val="20"/>
            <w:u w:val="single"/>
            <w:shd w:val="clear" w:color="auto" w:fill="FFFFFF"/>
            <w:lang w:val="en-US" w:eastAsia="en-US" w:bidi="ar-SA"/>
          </w:rPr>
          <w:t>S.C. 1996, c. 23</w:t>
        </w:r>
      </w:hyperlink>
      <w:r>
        <w:rPr>
          <w:rFonts w:ascii="arial" w:eastAsia="arial" w:hAnsi="arial" w:cs="arial"/>
          <w:color w:val="000000"/>
          <w:sz w:val="20"/>
          <w:lang w:val="en-US" w:eastAsia="en-US" w:bidi="ar-SA"/>
        </w:rPr>
        <w:t xml:space="preserve"> which on its face requires repayment of any benefits by a plaintiff in the event that monies are recovered in a court judgment for loss of income during the same period, places Employment Insurance Benefits in the "subrogation exception" outlined by McLachlin J. in Ratych. Section 45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claimant receives benefits for a period and, under a labour arbitration award or court judgment, or for any other reason, an employer, a trustee in bankruptcy or any other person subsequently becomes liable to pay earnings, including damages for wrongful dismissal or proceeds realized from the property of a bankrupt, to the claimant for the same period and pays the earnings, the claimant shall pay to the Receiver General as repayment of an overpayment of benefits an amount equal to the benefits that would not have been paid if the earnings had been paid or payable at the time the benefits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The payment of premiums for Social Assistance Benefits cannot be directly linked to the plaintiff. Consequently, they cannot be considered as "contracts of insurance", (Gill at 240). In addition, our Court of Appeal in M.M. v. R.F. </w:t>
      </w:r>
      <w:hyperlink r:id="rId701"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decided that Social Insurance benefits do not fit within the "charity exception" since deducting Social Assistance benefits will not deter any benefactors from aiding the needy and Social Assistance benefits are easily quantifiable (M.M. v. R.F. at p. 183). Thus, the plaintiff's Social Assistance benefits must be deducted from her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award the plaintiff $161,944 for past wage loss, subject to this: any Social Assistance benefits she received will be deducted from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plaintiff will have prejudgment interest on this award at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award the plaintiff $459,626.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plaintiff seeks an award for treatment at a pain clinic and for a live-in housekeeper the family has employed for years using the plaintiff's CPP Disability benefits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With respect to pain treatment Mr. Mohamedali relies on the opinion of Dr. Joy who recommended treatment at the University of Washington Pain Treatment Centre at a cost of approximately $20,000 (U.S.). I assume it is a residential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have concerns about making an award for pain treatment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First, I have some doubt the plaintiff will attend and complete any pain program. Second, I question whether any treatment facility will accept her unless she is physically able to withstand the treatment. Third, is the cost of the Washington pain program for there are pain treatment facilities in this province payable in Canadian dollars, and Dr. Joy also refers to these facilities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expect that the plaintiff would benefit from a pain program were she able to withstand it and complete it. But where and at what cost must be resolved. Mr. Mohamedali has these suggestions: any money for a pain program should not be given to the plaintiff directly but the Insurance Corporation should pay the facility directly. I agree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He further suggests that counsel try to agree on the place and the cost and if they cannot, the issue should be resolved by tendering evidence and further submissions. I agree with that suggestion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shall not make an award for pain treatment at this time unless counsel can agree. If they cannot, evidence and submissions may be tendered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With respect to a live-in housekeeper, the present cost is $1,295 monthly. Using the Taunton multipliers the present value of the cost is $26,882 and Mr. Mohamedali submits the amount should be rounded off to $30,000 to reflect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do not find the amount sought is appropriate, for no longer is a full-time housekeeper justified. The children are older - the eldest is nearly twenty, the second is seventeen or soon will be, the third is fourteen. The three eldest sons are capable of assisting with housekeeping and some cooking. I suspect it would be good for them. A part-time housekeeper to help to prepare meals and assist with some housekeeping assisted by the family, would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award $10,000 for this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plaintiff seeks a management fee of $20,000 - $25,000. She has not provided any evidence of the services to be provided or the cost. I am not persuaded that a manager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plaintiff seeks "the usual percentage on cost of future care which is 31.67%".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defendants have not submitted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Anson v. Karoway (supra), Burnyeat J. allowed for tax gross-up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future care costs will be subject to a tax gross-up. There were no materials before me as to the appropriate gross-up percentage and, accordingly, I set that percentage at 31.67% with what has been used in other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fix the percentage for tax gross-up at 31.67% of the cost of future care. I leave it to counsel to calculate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AWARDS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161,944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459,626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Care Costs and Specials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39,454.70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 Gross-up on Costs of Future Care</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 - House Help</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 - Pain Treatment</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Adjourned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have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Liu v. Huang, [2018] B.C.J. No. 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21-25, 28-30, December 1 and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received February 17,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S106279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 Yan Liu, Jiangning Chen, Plaintiffs, and Ivy Huang also known as Rui Huang, May Ma also known as Fengqin Ma, Rainbow Bridge Human Resources Co.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25"/>
      <w:bookmarkEnd w:id="171"/>
      <w:r>
        <w:rPr>
          <w:rFonts w:ascii="arial" w:eastAsia="arial" w:hAnsi="arial" w:cs="arial"/>
          <w:b/>
          <w:color w:val="000000"/>
          <w:sz w:val="20"/>
          <w:lang w:val="en-US" w:eastAsia="en-US" w:bidi="ar-SA"/>
        </w:rPr>
        <w:t>Civil litigation — Civil procedure — Pleadings — Material facts — Particulars — Pleading fraud — Action for return of monies advanced to corporate defendant and for misrepresentation damages allowed in part — Individual defendant and M met plaintiffs to discuss project in which they would bring workers from China to work as cleaners in Canada — Plaintiffs and corporate defendant entered agreement under which plaintiff L advanced $220,500 to pay fees for recruiting workers — Agreement contained money-back guarantee — Workers never arrived, and defendants did not return money, despite demand — Plaintiffs' failure to particularize misrepresentation claim was fatal — L was granted judgment for $220,500 against corporate defendant with interest from extended deadline.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Performance and discharge — Performance — Time for performance — Extension and waiver — Action for return of monies advanced to corporate defendant and for misrepresentation damages allowed in part — Individual defendant and M met plaintiffs to discuss project in which they would bring workers from China to work as cleaners in Canada — Plaintiffs and corporate defendant entered agreement under which plaintiff L advanced $220,500 to pay fees for recruiting workers — Agreement contained money-back guarantee — Workers never arrived, and defendants did not return money, despite demand — Plaintiffs' failure to particularize misrepresentation claim was fatal — L was granted judgment for $220,500 against corporate defendant with interest from extended deadline.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Misrepresentation — What constitutes — Negligent misrepresentation — Fraudulent misrepresentation — Action for return of monies advanced to corporate defendant and for misrepresentation damages allowed in part — Individual defendant and M met plaintiffs to discuss project in which they would bring workers from China to work as cleaners in Canada — Plaintiffs and corporate defendant entered agreement under which plaintiff L advanced $220,500 to pay fees for recruiting workers — Agreement contained money-back guarantee — Workers never arrived, and defendants did not return money, despite demand — Plaintiffs' failure to particularize misrepresentation claim was fatal — L was granted judgment for $220,500 against corporate defendant with interest from extended deadline.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Amount — Consequences of breach — Interest — Action for return of monies advanced to corporate defendant and for misrepresentation damages allowed in part — Individual defendant and M met plaintiffs to discuss project in which they would bring workers from China to work as cleaners in Canada — Plaintiffs and corporate defendant entered agreement under which plaintiff L advanced $220,500 to pay fees for recruiting workers — Agreement contained money-back guarantee — Workers never arrived, and defendants did not return money, despite demand — Plaintiffs' failure to particularize misrepresentation claim was fatal — L was granted judgment for $220,500 against corporate defendant with interest from extended deadline.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Pleadings — Action for return of monies advanced to corporate defendant and for misrepresentation damages allowed in part — Individual defendant and M met plaintiffs to discuss project in which they would bring workers from China to work as cleaners in Canada — Plaintiffs and corporate defendant entered agreement under which plaintiff L advanced $220,500 to pay fees for recruiting workers — Agreement contained money-back guarantee — Workers never arrived, and defendants did not return money, despite demand — Plaintiffs' failure to particularize misrepresentation claim was fatal — L was granted judgment for $220,500 against corporate defendant with interest from extended deadline.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25"/>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the return of $220,500 and damages for misrepresentation. The individual defendant and M, against whom the claim had been dismissed on consent, met with the plaintiff L on a number of occasions to discuss a project in which they would recruit workers from China to work as cleaners in Canada. The defendants needed $220,500 to recruit 21 workers. The plaintiffs alleged the individual defendant and M represented they had significant experience in obtaining Canadian work visas for residents of China, and that cleaners in China would qualify under the program or else the monies would be returned to the plaintiffs. The plaintiffs asserted they acted on these representations in agreeing to advance the monies. The corporate defendant was incorporated for the purpose of the project, and L advance the monies to the corporate defendant. The plaintiff J entered an agreement that authorized her to act as an agent of the corporate defendant in the recruiting and training of workers. The parties entered an agreement for the purposes of the project, which contained a money-back guarantee with respect to the funds advanced. Delays ensued and no workers were brought to Canada. The plaintiffs became frustrated and demanded the return of the funds, which the defendants refused to provide.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3" w:name="Holdings of Court_21"/>
            <w:bookmarkEnd w:id="17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did not allege that M acted as an agent for the defendants or the defendants were bound by her statements. The alleged misrepresentations were not particularized in the pleadings. In view of the plaintiffs' failure to allege particular statements by the individual defendant and M were misrepresentations, the plaintiffs' failure to comply with Rule 7(18) by not particularizing the alleged misrepresentations, and the plaintiffs' failure to particularize what statements amounted to misrepresentations in response to the demand for particulars, the claim for damages for misrepresentation was dismissed. The monies were advanced from L to the corporate defendant. While the individual defendant initially promised repayment within three months, that deadline was extended. L was granted judgment for $220,500 against the corporate defendant with pre-judgment interest from the date of the extended deadline. While J claimed return of $220,500 as well, she did not actually advance these monies. J did advance $10,000 separately but made no claim for these funds. J's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9"/>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25"/>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J.W.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R.R.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5"/>
      <w:bookmarkEnd w:id="176"/>
      <w:r>
        <w:pict>
          <v:line id="_x0000_s1157"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(At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G.D. BURNYEAT J._0"/>
            <w:bookmarkEnd w:id="177"/>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Wen Yang Liu ("Liu") and Jiangning Chen ("Jenny") claim for the return of the sum of $220,500 advanced on August 14, 2009 to Rainbow Bridge Human Resources Co., Ltd. ("Rainbow") at the request of Ivy Huang, also known as Rui Huang ("Ivy"). The relief also sought against Ivy is for damages for misrepresentation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the commencement of the Trial, a Consent Dismissal Order was filed relating to the Defendant May Ma also known as Fengqin Ma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their Response to Civil Claim, Ivy and Rainbow state that, on or about August 9, 2009, the Plaintiffs and Rainbow in its capacity as agent for a Quebec company, Immigration International 9-1-1 Inc. ("Immigration 911") entered into an authorization agreement whereby Rainbow authorized one or both of the Plaintiffs to act as its agent in China in recruiting workers pursuant to an "Opportunity Agency Agreement". The $220,500 advanced was to pay for the fees to be paid by each of the recruited workers ("Project"). Ivy submits that she was operating in her capacity as a director and officer of Rainbow so that she is not personally responsible for the debts and liabilities of Rainbow. Ivy also denies that she or anyone on her behalf made any misrepresentations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taking the unusual step of setting out the Notice of Civil Claim in entirety as the claim as drafted does not make it clear about what is being claimed by the Plaintiffs and about the facts that would support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Notice of Civil Claim set out a "Statement of Facts", "Relief Sought", and the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Facts is set out as follows: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in June 2009 ... May and Ivy met with Liu on a number of occasions.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these meetings, ..., May and Ivy discussed an immigration project that they were working on which would recruit cleaners/janitors workers from China to Canada.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May and Ivy confirmed with Liu that it would be their responsibility to obtain a work visa for the proposed Chinese workers.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Liu expressed concern that the Canadian government would not allow cleaners from China but ... May and Ivy advised that they had special connections in Canada to make that happen.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further meeting, ... Ivy and May advised that they would require the sum of $10,500 per worker to cover training of the workers' legal fees and advice fees for a total sum of $220,500 for 21 workers.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May and Ivy represented that they had a great deal of expertise in obtaining Canadian work visas for residents of China and that cleaners from China would qualify under the Canadian government program and that in the event of that not being the case, the sum of $220,500 would be returned by the Defendants to Liu.</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representations of ... May and Ivy, the Defendant [sic] Liu agreed to find 21 Chinese farm workers and agreed to pay the sum of $220,500 to the Defendants in advance to cover legal and training costs as they had requested and which sum was advanced to an account in the name of Rainbow on August 14, 2009 as they had requested.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provided that the Defendants prepare application forms required by the Canadian government, submit them to Service Canada, assist legal counsel, and find employers and employment contracts.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and Ivy] advised that training and the applications would proceed forthwith after payment of the monies ... but the Defendants unnecessarily delayed the training and the applications.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provided for money back guarantee in the event that a Canada work visa is not successful within three months after the application document is submitted.</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delays of the Defendants in failing to have the application for work visas obtained, the Plaintiffs demanded the sum of $220,500.00 be returned to them.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 [May and Ivy] advised that these workers could qualify as farm workers [instead of as cleaners].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[May, Ivy and Rainbow] further represented that the general farm worker program was pre-approved by the Government of Canada.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[May, Ivy and Rainbow] further represented that the application forms of the Chinese workers would have to be changed to reflect the farm worker program instead of the cleaner program.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advised ... they were not interested in further dealings with ... [Ivy and Rainbow] and specifically were not interested in becoming involved in changing the applicants application to meet the new labour classification and again demanded that the monies be returned.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[Ivy and Rainbow] neglected or refused to return the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"Relief Sought" sets out the following: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of the sum of $220,500;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negligent misrepresentation;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misrepresentation;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relief as the Court direct;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"Legal Basis" is set out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entered into an Agreement based on the oral representations of ... May and Ivy and paid the monies requested by May and Ivy.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anything happened other than what was contemplated, ... May and Ivy agreed to return the monies back to the Plaintiffs.</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written Agreement reflects the oral Agreement but adds a limited Company which was never discussed at any time.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return of the monies from ... [Ivy and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PROBLEMS WITH THE CLAIM AS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Statement of Facts outlines a number of "representations", it is not alleged that these "representations" amounted to either "negligent misrepresentations" or "misrepresentations" even though damages for negligent misrepresentation and damages for misrepresentation are set out in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Despite the fact that the Plaintiffs now state that the funds were advanced to Ivy personally and not to Rainbow, the Statement of Facts sets out that there was a promise that the sum of $220,500 "would be returned by the Defendants to Lui" and that Lui "agreed to pay the sum of $220,500 to the Defendants...". The term "Defendants" refers to both Ivy and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total of $247,500 was advanced to Rainbow. That amount included $10,000 from Jenny who is the daughter of Lui and $17,000 from Wei Su who is the husband of Ivy. However, no claim is made for the additional $27,000 advanced. Accordingly, Jenny can make no claim in these proceedings for the $10,000 that she advanced to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$200,500 out of the $220,500 advanced to Rainbow came out of an account jointly held by Lui and Quiliang Chen who is the husband of Lui but no claim is made by Mr. Chen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Regarding Jenny, there is no specific reference in the Statement of Facts to Jenny or that any representations or advice were made or given specifically to Jenny.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paragraph 11 of the Statement of Facts where it is alleged that "The Plaintiffs demanded the sum of $220,500 be returned to them", it is not made clear whether the Plaintiffs demanded the sum from Rainbow or whether they demanded the sum from Ivy. As well, there is no evidence before the Court that a written demand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Despite the fact that there was an agreement in evidence between Liaoning Zhentgong Overseas Employment Services Centres ("Overseas") and Jenny that Overseas guaranteed repayment to Jenny of $10,500 for each worker, no claim is made by Jenny under that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the fact that Liu testified that she was promised interest on the funds that she advanced, no claim for interest is set out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Claim, there is no allegation that May was acting as the agent of Ivy and that statements made by May are binding on 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Ascertaining the claim of the Plaintiffs was made more difficult by virtue of the fact that the Plaintiffs produced no documents but were content to rely on the documents that were produced by Ivy and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Lui testified that she was previously a doctor of internal medicine in China. She stated that she had previous involvement with May and others in previous projects involving bringing temporary foreign workers to Canada: (a) The "Steel Workers Project" in 2006; and (b) The "Welder Project"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Lui did not meet Ivy until 2009. I accept the evidence of Liu that, until she was introduced to Ivy by May, she had never met Ivy. Liu at Trial stated that: "May introduced Ivy to me" and that "May told me Ivy had very wide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Jenny has an MBA from a Canadian institution. Jenny testified that she had worked with May in 2006 on a project involving bringing steelworkers to Canada. Jenny testified that her mother and father were also involved in that project. Jenny further confirmed that she had a similar project with May in 2008 and she advised that her role in that project was to help recruit workers, to collect their information, to fill out documents that May gave her, and to present those documents to the lawyer who would go to China to sign up workers. She stated that, at the end of their training, all applicants would get certificates so that they could work in Canada. The 2008 project involved bringing welders to Canada and Jenny confirmed that her mother and father were involved in that project as was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May stated that she had known Mr. Chen, Lui and Jenny since the mid 2000's. That she met Mr. Chen when she was working in a political constituency office and Mr. Chen was involved through a local business association. May indicated that she had known Ivy since 2008 when they had done a rebar workers program. She indicated that she was paid $2.50 per hour for every hour that the rebar workers worked at $23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early 2009, Ivy told May about a connection she had with a Quebec company called "Medi-Future Internationale Inc." ("Medi-Future") which was seeking to recruit temporary foreign workers from China to go to Quebec. Following her discussion with Ivy, May called Mr. Chen and mentioned to him that she was aware of a new opportunity similar to the Steel Workers Project and the Welders Project. I find that Mr. Chen told May to meet with Lui to discuss the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Ivy, May, and Liu had a number of "meetings" between April and August of 2009 which included a discussion of the Project. Liu denied that there was business discussed at the first two meetings and that it was only a "get to know" sessions lasting about 30 minutes and that it was "just a social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meeting took place at the home of Ivy on April 19, 2009. This was the first time that Ivy met Lui. I accept the evidence of May and Ivy that the reason for the meeting was to discuss the worker opportunity and that Ivy advised Lui that she had a connection to a company in Quebec that was looking for labourers. At Trial, Lui confirmed that the purpose of the meeting was to discuss a business opportunity but she also stated that no opportunity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meeting took place on April 26, 2009 and was initiated by May. I find that the meeting was prompted by the plan of Lui to go back to China imminently. Regarding this meeting, Lui stated at Trial: "I was not clear why [we met]". When the question was put to her as to whether it was to introduce her to a business opportunity, Lui stated: "Probably I don't know". When asked whether she was presented with a business opportunity on either April 19 or 26, Lui stated: "I guess so". "On the 26th". I also find that there was a discussion about the requirements for each worker including that each worker would need to pay an initial deposit of $10,500. Ivy states that she was left with the understanding that Lui would return to China to start recruiting workers. I accept the evidence of Ivy and May that Lui asked them to forward documentation on the opportunity that was being discussed. At the end of the second meeting, it was the understanding of Ivy that Lui would return to China and start the process of recruiting workers with the assistance of Jenny.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Despite the fact that Jenny did not attend the two initial meetings, in early May through early August, 2009 while Lui was in China along with Jenny and Mr. Chen, there were a number of emails exchanged between May and Jenny regarding the Project. I find as a fact that Jenny was designated by Lui to gather information on behalf of the Plaintiffs and that Jenny acted as the agent for Lui in that regard. I also find that the involvement of the Plaintiffs in the Project proceeded during July and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COMMUNICATIONS IN JULY AND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July 8, 2009 email from May to Jenny, May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need the number of applicants: name, (both Chinese and Pinying), date of birth, home address and post code, sex, telephone number.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let me know the number, it doesn't matter how many as you just started. We need to tatch [sic] base with the lawyer because they are recruiting in other coutnreis [sic]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July 10, 2009, Jenny sent an email to May indicating that over 20 workers had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July 26, 2009 email from May to Jenny, May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the attachment for Quebec immigration project, let me know if you have any questions. Please send me the final name list ASAP, I need them for blocking the number with the lawyer. Thank you for your good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July 26, 2009 email from Ivy to May, Ivy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attached is the name list of the cleaners. Please send it to Shenyang [China] and let them check and confirm. Make sure the newly added names are appended at the end using my format before sending back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 July 27, 2009 email from May to Jenny, May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open the attachment at home, just forward to you, please check the names carefully before returning to me. I will add my brother's info then send it to you tomorrow. Keep the good work.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an August 1, 2009 email from May to Jenny, May attached: "...the certificate of the Quebec law firm". What was forwarded was a copy of a Certificate of Constitution of Immigration 911 indicating that it had been incorporated on September 21, 2006. It is clear that Immigration 911 is not a law firm. The "fondateurs" [Founders] were listed as listed as being Jean-Michel Labelle of Montreal. Also included was a practice certificate for Anabela Dias Cosme, a Quebec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an August 12, 2009, email from May to Jenny, May provided a certificate of incorporation relating to Rainbow which had been certificated by a British Columbia Notary Public. The July 16, 2009 document indicated that Rainbow had been incorporated on July 23, 2008. Liu testified that, at no time, did either Ivy or May advise her that there was a corporate connection and that she would be lending money to Rainbow and not to Ivy personally. However, Liu did not testify as to whether the information about Rainbow that was provided to Jenny was passed on to her by Jenny.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RAINBOW - JENNY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 July 28, 2009 email from May to Jenny, May stated: "Please see the attached agreement, feel free to discuss any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 August 9, 2009 "Letter of Authorization" ("Letter"), Jenny was authorized "...as a special agent for Rainbow...to be responsible for the recruitment from China of labor [sic] service workers pre-approved by the province of Quebec, Canada. The specific terms and requirements are detailed in the attached document(s)." That authorization is signed by Ivy as the "Chair of the board" of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Ivy stated that she had prepared the Letter and said: "She [Liu] needed to document to show she had a document from Canada to work with a Chinese company [overseas]" "Overseas needed this to know Rainbow was also in the business of labour export".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RAINBOW - OVERSEAS AGREEMENT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 August 10, 2009 Agreement between Rainbow as "Party A" and Overseas of China as the "Party B", the parties agreed to cooperate on a project which the named the "Canada/Quebec Cleaning Workers Project". Rainbow was named as being responsible for the Project and relevant services in Canada. Overseas was named as being responsible for the recruitment services in China "...including interviewing, training, and transferring all relevant documents". Overseas retained Rainbow to submit: "...CAQ, LOM and Applications for Canadian Work Visas to the Provincial Government of Quebec, Service Canada, and Canadian Immigration and Citizenship". It was provided that the applicants for the Project recruited by Overseas would apply for Canadian Work Visas and that Rainbow was responsible for submitting applications for the work visas on behalf of the applicant workers. The Agreement set out a number of provisions for "Eligibility", in "Work Hours and Conditions", and that the first visas would be valid for two years. Overseas was to provide personal information, a valid passport, and notarized criminal record check, and medical examination information about the applicants to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Overseas agreed to pay Rainbow $5,500 (Canadian Funds) for a 200 hour training session in China "in order to get relevant work certificates" and would pay $3,500 for a 300 hour "language training after they arrived in the work place". Overseas also agreed to pay Rainbow $14,000"...as legal advice service fee to retain [Rainbow] as representatives with respect to Canadian Work Visa matters of the Applicant to submit applications to the Province of Quebec, Service Canada and CIC". The $5,500 was to be paid at the time when the applicants registered for the training and, at the same time, an applicant worker was to pay $5,000 to Rainbow for a legal advice service fee. The outstanding balance of the legal service fee of $9,000 and the language training fee of $3,500 was to be paid to Rainbow when an applicant received his or her Canadian Work Visa.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Under the Agreement, Overseas was to the pay the "government related fees including the CIC application fee of CDN$150 for the Canadian Work Visa (CIC), the application fee of CDN$175 for Certificate of Acceptance for Temporary Work (the "Provincial Government of Quebec') and the LMO Application fee of CDN$175, as well as bank fee of CDN$30".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Rainbow was to provide "free services including checking the documents, requirement assessments, and providing written confirmations", was to find employers and employment contracts on behalf of the clients of Overseas, was to assist the applicants in preparation of the application forms and supporting documents required by the Canadian government, submitting applications to Service Canada and CIC on behalf of the applicants who were hired by Canadian employers, would assist counsel and prepare the applicants when necessary for interviews, would provide free pick-up services and help arrange accommodation when the applicants arrived in Canada, and would be responsible for coordinating the applicants with the employers, "helping Applicants adapt to the local culture, and assisting Applicants with their residence permits,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Overseas was required to "fully cooperate" with Rainbow "strictly comply with application procedures, provide all supporting documents required by Service Canada and the Canadian government" and was prohibited from applying for any Canadian visas on behalf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the heading "Money Back Guarantee", it was provided that if the applicants application for Canada Work Visa was not successful three months after the application document was submitted, Rainbow would refund the full amount of payment (including the training fee) within one week after the formal request for refund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copy of the Agreement in evidence shows the August 13, 2008 signature of Ivy on behalf of Rainbow but no signature on behalf of Overseas. Despite the fact that the Agreement in evidence was not signed on behalf of Overseas, I nevertheless find that the Agreement in evidence is the agreement between Rainbow and Overseas.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REVISED RAINBOW - OVERSEAS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an August 21, 2009 agreement headed "Canadian Work Visa Agreement", the provisions of the Agreement were amended to add Jenny as a "Party C" ("Revised Agreement"). In the Revised Agreement, the provisions in the Agreement were repeated in entirety and the following "Remark" was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Remark: Party C will pay the First Payment in advance on behalf of the individual Party B Client [Applicant Worker]. ...[Overseas] will make one-time payment of CDN$23000 per applicant to Party C after the Application for Work Visa is successful, if the ... Applicant gives up after successfully receiving the Work Visa, ... [Overseas] guarantees that CDN$10500 will be paid back to Party C under the guarantee of ... [Overseas].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Applicant must pay the Government related fees including the CIC application fee of CDN$150 for the Canadian Work visa (CIC), the application fee of CDN$175 for Certificate of Acceptance for Temporary Work (the Provincial Government of Quebec), and the LMO application fee of CDN$175, as well as bank fee of CDN$30.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Revised Agreement was signed by Jenny and Overseas on August 21, 2009 but what is in evidence is not signed by Rainbow. The Revised Agreement was forwarded from Overseas to Jenny and then from Jenny to Ivy on August 21, 2009. Jenny testified that her name was added as she was in China at the time and Lui was in Canada. Jenny further stated that the Agreement was modified by virtue of the involvement of Rainbow and the funds being advanced to Rainbow. I find that the Revised Agreement is the operative agreement according to the Plaintiffs. Despite the fact that the Revised Agreement in evidence is not signed by Rainbow, I nevertheless find that the Revised Agreement with the addition of Jenny as a party evidences the agreement that was in place between Overseas, Rainbow and Jenny and that Jenny entered into the Revised Agreement on behalf of herself and her mother, Lui.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MEDI-FUTURE - RTTA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an August 11, 2009 document on the letterhead of Medi-Future International Inc. ("Medi-Future") headed "Services Fee Agreement and Mandate", 45 individuals listed as "The Client" agreed with "Su Wei and RTTA International Import/Export Ltd". ("RTTA") as "The Agent" as wishing to retain the services of Medi-Future for the purpose of an application for a work permit and authorizing Medi-Future "...to take all necessary measures and steps in the above indicated application". In the document, the mandate of Medi-Future was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MEDI-FUTURE INTERNATIONAL INC. engages itself to provide the client with the services of authorized representative from IMMIGRATION INTERNATIONAL 9-1-1 INC., having its principal place of business at 1190 Saint-Antoine West, Montreal, Quebec, Canada H3C 1B4, Telephone Numcer: 1-877-935-1717, website: www.imm911.com , and with the preparation of necessary forms and documents for the client's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provided that RTTA agreed to pay Medi-Future a total of $966,000 (Canadian Funds) being equal to "46xCDN$21,000" with the first payment $253,000 payable upon the signature of the contract and the remainder of the funds payable upon completion of various steps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document further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following agreement will apply as follows</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 total deposit of $10,500 per Person is non-reimbursable</w:t>
      </w:r>
      <w:r>
        <w:rPr>
          <w:rFonts w:ascii="arial" w:eastAsia="arial" w:hAnsi="arial" w:cs="arial"/>
          <w:color w:val="000000"/>
          <w:sz w:val="20"/>
          <w:lang w:val="en-US" w:eastAsia="en-US" w:bidi="ar-SA"/>
        </w:rPr>
        <w:t xml:space="preserve"> if the file is rejected by the Client Side (Medical Report and Criminal Record)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 total deposit of $10,500 per Person is reimbursable</w:t>
      </w:r>
      <w:r>
        <w:rPr>
          <w:rFonts w:ascii="arial" w:eastAsia="arial" w:hAnsi="arial" w:cs="arial"/>
          <w:color w:val="000000"/>
          <w:sz w:val="20"/>
          <w:lang w:val="en-US" w:eastAsia="en-US" w:bidi="ar-SA"/>
        </w:rPr>
        <w:t xml:space="preserve"> if the file is rejected by the Canadian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copy of the document which is in evidence is signed by "Feng Yan" as the "Main Applicant", by "The Client, Su Wei on behalf of RTTA as "The Agent" and by Lam Tran Tu as the "CEO" of Medi-Future.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was the participation of Su Wei, the husband of Ivy or the participation of RTTA was not made known to the Plaintiffs. Under cross-examination, Ivy stated that she did not tell the Plaintiffs about RTTA as it was a "business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Ultimately, the funds provided to Rainbow flowed from Rainbow to RTTA to Medi-Future.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TRANSACTIONS, MEETINGS, AND DISCUSSIONS IN AUGUST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 August 10, 2009 email from May to Jenny, May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Farmer...Ivy gave me a list of 50 on 20-Jul-2009...she said, she will have it ready in 20 days... Can you confirm with her if we could get it in on time... because the lawyer is attacking me for the Unit that Ivy take...by which by the way, Ivy wanted 120 Unit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From the August 10, 2009 email from May to Jenny, I conclude that a number of programs were being discussed between May and Jenny. In an August 12, 2009 email from May to Jenny, Jenny was provided with the following "update information"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Janitor Program:</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$10500 paid by 12-Aug-2009, Class begin on 26-Aug-2009 or</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$10500 paid by 17-Aug-2009, Class begin on 31-Aug-2009</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approved, $12500 is due by receipt of Work Permit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rejected by Client, $10500 is NON-REFUNDABLE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rejected by our side, $10500 is REFUNDABLE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 total of 6 Instructors for the program, if you have the people from Fujian, we could start with them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Farmer</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50 Farmer, is payable by 14-Aug-2009 or 21-Aug-2009</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Farmer, is payable by 21-Aug-2009 or 28-Aug-2009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give me the dates that is good for you, I will work accordingly with the Lawyer. We have very high demand from Farmer's Owner. As of today, we have additional request, for a total of 320 unit. The Candidates will come in between Oct-2009, Nov-2009, Dec-2009, if we start the application within this month. In addition, we have a total of 220 unit for the Green House, these group will be qualified for 2 years Work Permit, but these group is very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Nursing Aides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send all the forms in a separated email along with Authorization Letter for your Agent /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application should be submitted between 15th-20th of each month so that we could have the student arrived in Montreal by 6th weeks, meaning Class begins at each Monday of the month. A group of 25 mimum [sic] to start a New Class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too much work since I came back from Vn... I was with the Lawyers people since -6-Aug-2009... for Ivy, I have work thouroughly [sic] with the Lawyer, please see my response below:</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$10500 paid on 10-Aug-2009 Class begin on 26-Aug-2009, I want to avoid the number 24 (in Chinese the number is not good), or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$10500 paid on 17-Aug-2009 Class begin on 31-Aug-2009, [then Chinese script not translated in the document entered as exhibit at the Trial]</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Teacher's living place, I want an appartment [sic], which must have internet, and all inclusive. Please give me the price so that I prepare the budget. [then Chinese script not translated in the document entered as exhibit at the Trial]</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Classroom, I need to know what would it cost as well. [Chinese script not translated in the document entered as exhibit at the Trial]</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will have no problem with Fujian, even with the BLACK LIST PROVINCE, </w:t>
      </w:r>
      <w:r>
        <w:rPr>
          <w:rFonts w:ascii="arial" w:eastAsia="arial" w:hAnsi="arial" w:cs="arial"/>
          <w:b/>
          <w:color w:val="000000"/>
          <w:sz w:val="20"/>
          <w:u w:val="single"/>
          <w:lang w:val="en-US" w:eastAsia="en-US" w:bidi="ar-SA"/>
        </w:rPr>
        <w:t>These following cities Fuqing, Changle, Liangjiang from Province of Fujian are on the Black List</w:t>
      </w:r>
      <w:r>
        <w:rPr>
          <w:rFonts w:ascii="arial" w:eastAsia="arial" w:hAnsi="arial" w:cs="arial"/>
          <w:color w:val="000000"/>
          <w:sz w:val="20"/>
          <w:lang w:val="en-US" w:eastAsia="en-US" w:bidi="ar-SA"/>
        </w:rPr>
        <w:t xml:space="preserve"> = WE CAN WORK, NO PROBLEM. [then script not translated in the document entered as exhibit at the Trial]</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we take 100-200, for 31-Aug-2009, I will keep the Teachers for her group. I have a total of 6 Teachers available, please re-confirm with Ivy.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send a sample of Invitation Letter over to Ivy, so that she could have the Agent write the Invitation Letter for us so that we can operate the class in the province.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people working with Large Corporation to have the job available for the Janitor Program. We have several companies waiting for our people.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send over the list of requirements for the Nursing Aides Program in another email.</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Farmer, I now have another request from Farmer's Owners, we have 320 to do. The batch of 32 will be working for Vegetable Season (Carbage-Vegetable).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very important if Ivy wants to complete the 120 Units that she has previously requested, I need Ivy to re-confirm, so that I can keep for Ivy.</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August 12,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the evidence of Ivy and May that a third meeting between Ivy, May and Lui took place on August 12, 2009 after Lui had returned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Liu states that Ivy at the August 12 meeting "told her all about the program in detail and told her everything you knew about the program including recruiting workers". Liu testified that she was told that a large Montreal law firm was looking after the program, that the processing time would be three months, that they would need money for a minimum of 30 days but any monies would be repaid within 90 days, that she would be paid "interest" on the sum of $220,000 for arranging for the funds, and that she relied on May for information about the program. Liu testified that Ivy and May advised her that the law firm had great connections with the Federal Government and that, should any problems arise at the Visa Office in the Canadian Embassy in Beijing, things would be "smoothed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Under cross examination, Lui stated that she had remembered what had been said and, while she initially denied that she had written anything down, she ultimately indicated "I put it down in paper" "in a notebook". Neither the notebook nor the paper were produced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Ivy and May were adamant that Ivy gave Lui a number of documents including the originals of some of the documents that had already been sent by email to Jenny by May as well as an original copy of the contract of the Rainbow/Overseas Agreement.</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August 14,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Liu met with Ivy and May on August 14th. When asked whether "they explained need for $220,500 for 21 workers" Ivy stated, "yes". When asked whether it was to cover training fees and legal fees Ivy stated "no". I record Lui as testifying: "they said lawyers said training fee not for legal fees". "Said lawyer needed for the training fee and that $220,500 was for the training fee" "recruiters had already paid that money if I were to loan her money than the training money would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Liu stated at Trial: "May called said Ivy wanted to get a loan and needed to pay the training fee for 21 workers as May was in it let's see what May had to say next day you were going to meet let's see whether or not to loan it". This is what she indicated to her husband in an August 12 telephone conference when he was in China. Liu confirmed that her husband agreed with her that the money should be advanced: "Yes, he said since May was in it because Ivy said would repay one three months". "We did not think it was a good investment but we trusted May and 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Liu testified that she was given a note by Ivy, that the note was in English "... I could not recognize - only the numbers and I recognized Ivy's name", that she presented the "paper" to her bank, that she was asked if she wanted to transfer funds, and that she said that she'd like to transfer what was set out on the paper. She also stated that she was not aware that Jenny had received information about Rainbow but she testified: "I had discussions with Ivy and May but not the company [Rainbow]. I saw it only at a discovery". The "note" was not produced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Ivy stated that "Ms. Liu gave me a cheque" [payable to Rainbow] on the 14th. Ivy stated that she gave Lui a "receipt" but that there was only the two of them present when that occurred. Regarding the receipt, she stated: "Means the cost of the 21 workers was presented by Liu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receipt was dated August 14, 2009. It is signed by Ivy on behalf of Rainbow and provided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Receipt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Received the Cleaning Worker Tuition Fee and Legal Fee of total CDN$220,500 (21 8 CDN$10500) from Wen Yan Liu.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Ivy Huang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 14,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Rainbow Bridge Human Resources CO. Ltd.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August 14, 2009, $205,000 (Canadian) was transferred to Rainbow out of a HSBC Account maintained by Liu and Su Wei.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August 17, 2009, Rainbow transferred the sum of $220,500 to RTTA. The bank account of RTTA indicates this transfer, the transfer from Jenny on the same date of $10,000, and the transfer of $17,000 from Su Wei on the same date. A total of $247,500 is then transferred by RTTA to Medi-Future.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 receipt dated August 17, 2009, Medi-Future acknowledged $247,500 as received from RTTA relating to "contract number SC-0120-LMO-46 units janitor work permit &amp; language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AND COMMUNICATIONS IN THE FALL OF 2009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an August 21, 2009 email from May to Ivy, May advised: "Please check an AIGN [sic] the attached agreement from Shen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 September 14, 2009 email from May to Jenny, May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good work with the lawyer and teacher. Hope everything goes fine there. Here are two things need your help:</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 not get hold of your Mom, please ask her to send me the latest name list for submittion [sic] this time. If we cannot catch up with this lot, we have to do it next year, I only have 10 on the last list, please confirm with your mom is she has more;</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email me zubo and song duocao's file, they are applying for BCPNP. Thanks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Immigration 911 sent trainers to China and the training lasted for a number of weeks. Only Jenny was in China at the time and it was her evidence that a few people on behalf of Immigration 911 went to China including a lawyer who she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an October 25, 2009 email from Immigration 911 to Ivy, the documents "still required for the application of a work permit in Canada" were forwarded and Ivy was advised: "Please provide the following documents and information for each applicant who is currently taking the janitor training in Shenyang".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 November 2, 2009 email from May to Jenny, Jenny was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our telephone conversation, attached please find the final form for the applicants (for both categories), and the requirements for farmers, please make sure that they prepare all the documents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 January 28, 2010 email from Ivy to May, May was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is/are the document(s) for the 20 people of Manager Li Guoli that were still incomplete. Please ask him to answer the questions directly on the letter of each individual concerning the missing document. Please complete this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Jenny indicated that she and her mother returned to Vancouver on March 10, 2010, that they met with Ivy and May on March 24, that her mother asked about repayment, and that Ivy said that the payment would take place "soon". Jenny quotes Ivy as saying: "I will pay you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MARCH 24, 2010 MEETING AND COMMUNCATIONS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Liu, Jenny, May and Ivy met on March 24. Liu stated: "We wanted Ivy to write a plan for repayment. Some kind of promissory note. May wrote a document for me". In a March 24, 2010 document, Ma is listed as the Promisor. Under the general heading "Letter of Promise", Ma agreed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agreed period, if the labourers failed to come to Canada for non-personal reasons, all the money is refunded.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Chen [Liu],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meetings and consultation over the last few days, and the cooperation agreement signed before, we issued a notice in early December 2009 asking for supplementary material. But so far the applicants' supplementary material has not been in place, resulting in the first group of approved workers to Canada having no applicant from Shenyang. To this end the promise made previously can be reiterated here. Within three months after all the application material from the applicants has been in place, if the applicant fails to come to Canada for non-laborer personal reasons and if the laborer is not willing to continue waiting, we will refund the application fee that Mrs. Chen has delivered.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Promisor: Ma [illegible]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Rainbow provided a March 28, 2010 memorandum explaining why "...it has been taken much longer than expected to process the applications..." and stating that "pro-approval documents" were available for 30 "Agricultural Workers" and 19 "Property Workers". The "following benefits" for the workers were described as follows: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are no longer required for further training after arriving in Canada. The training fee of CDHN$3500 on the original agreement will not be charged.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employers will pay the workers one-way tickets to Canada. But the workers have to pay the tickets first and the employers will refund the amount to the workers after the workers arrive in Canada. In order to help the workers alleviate the financial burden and overcome the language barriers, Rainbow Bridge Human Resources will pay the tickets first and will settle with employers upon workers' arrival.</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have agreed that the employers will be responsible for the worker's accommodation, transportation and utilities. We are waiting for the written confirmation of the details from the lawyers.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written consent from the lawyers to ensure that if worker are not satisfied with the employers, Immigration 911 will be responsible for arranging new employees; In case the working hours do not meet the expected length of the hours, the lawyers will be responsible to prolong the working hours at no extra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an April 2, 2010 email from May to Ivy, May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just could not believe my eyes when I read the following message, what kind of Immigration company we are working with? </w:t>
      </w:r>
      <w:r>
        <w:rPr>
          <w:rFonts w:ascii="arial" w:eastAsia="arial" w:hAnsi="arial" w:cs="arial"/>
          <w:b/>
          <w:color w:val="000000"/>
          <w:sz w:val="20"/>
          <w:lang w:val="en-US" w:eastAsia="en-US" w:bidi="ar-SA"/>
        </w:rPr>
        <w:t>They keep breaking their promises: 1</w:t>
      </w:r>
      <w:r>
        <w:rPr>
          <w:rFonts w:ascii="arial" w:eastAsia="arial" w:hAnsi="arial" w:cs="arial"/>
          <w:color w:val="000000"/>
          <w:sz w:val="20"/>
          <w:lang w:val="en-US" w:eastAsia="en-US" w:bidi="ar-SA"/>
        </w:rPr>
        <w:t xml:space="preserve">. The date they promised personaly [sic] to the workers; </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salary they promised in writing; </w:t>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is the third Friday since they promised that the government aproval [sic] of next group of jenitorial [sic] workers would come etc. etc. </w:t>
      </w:r>
      <w:r>
        <w:rPr>
          <w:rFonts w:ascii="arial" w:eastAsia="arial" w:hAnsi="arial" w:cs="arial"/>
          <w:b/>
          <w:color w:val="000000"/>
          <w:sz w:val="20"/>
          <w:lang w:val="en-US" w:eastAsia="en-US" w:bidi="ar-SA"/>
        </w:rPr>
        <w:t>Their own staffs [sic] sent they believe the true information to our workers directly, all these are the roots of the problem!!!! They themselfies [sic] cuased [sic] all those problems directly with the workers? They are not troubleshooting for us, they are troubleshooting for themselfies [sic]</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 the problems cause [sic] by them damaged our reputation, caused financial lose [sic] to the workers, caused us so many overtime and/or weekends working because those workers sitting in our China office after work and/ or at weekends waiting for reply and/or explanation from Immigration 911,1 should say Immigration 911 should pay us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Yes we trust that they have enough qualified personnel in their office, otherwise we would not do business with them! But now I am not sure any more, why the staff from this professional Immigration firm with all the qualified personnel and even the instructor released all these unbleviable [sic] information, Immigration 911 can go to court to sue its staff for breaking the non-disclosoure [sic] agreement between them, but they did not sue its staff for providing un-true information!!! They should consider you as their team member and tell you the truth even if they have met some difficulties, then we can work together to pull through the hard time, we have been very cooperative and we would continue to do so, </w:t>
      </w:r>
      <w:r>
        <w:rPr>
          <w:rFonts w:ascii="arial" w:eastAsia="arial" w:hAnsi="arial" w:cs="arial"/>
          <w:b/>
          <w:color w:val="000000"/>
          <w:sz w:val="20"/>
          <w:lang w:val="en-US" w:eastAsia="en-US" w:bidi="ar-SA"/>
        </w:rPr>
        <w:t>but we almost lost control over the situation as those workers received all</w:t>
      </w:r>
      <w:r>
        <w:rPr>
          <w:rFonts w:ascii="arial" w:eastAsia="arial" w:hAnsi="arial" w:cs="arial"/>
          <w:color w:val="000000"/>
          <w:sz w:val="20"/>
          <w:lang w:val="en-US" w:eastAsia="en-US" w:bidi="ar-SA"/>
        </w:rPr>
        <w:t xml:space="preserve"> those </w:t>
      </w:r>
      <w:r>
        <w:rPr>
          <w:rFonts w:ascii="arial" w:eastAsia="arial" w:hAnsi="arial" w:cs="arial"/>
          <w:b/>
          <w:color w:val="000000"/>
          <w:sz w:val="20"/>
          <w:lang w:val="en-US" w:eastAsia="en-US" w:bidi="ar-SA"/>
        </w:rPr>
        <w:t>controversial information from their own staff and instructor. We just need reasonable explanation, they should troubleshooting theselies [sic], because they are the trouble maker. It is unbelievable to know that they caused the trouble, then they charge us to solve the problem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Please tell Immigration 911 we are not at all satisfied with their reply!!! Don't tell me they do not work on holidays, we need holiday too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Look forward to you prompt reply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Rainbow also advised in the April 2, 2010 email that it had set up an office in Montreal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coordinate the settlement with the arrival of the workers and help them adapt to the new working environment as soon as possible. There are still some conditions and requirements we are tried to get from the lawyers. So far we haven't received any response or acknowledgement. We will keep Shenyang (the Party B up-to-dated about the progress. Let us work together to persuade the workers to submit the outstanding documents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apparently the case that no workers under any of the programs actually came to Canada. Ivy testified that Immigration 911 had been closed by the police and that the lawyer, Labelle had been arrested. It is also clear that no funds have been repaid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Xu v. Hu</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2015 BCSC 1400</w:t>
        </w:r>
      </w:hyperlink>
      <w:r>
        <w:rPr>
          <w:rFonts w:ascii="arial" w:eastAsia="arial" w:hAnsi="arial" w:cs="arial"/>
          <w:color w:val="000000"/>
          <w:sz w:val="20"/>
          <w:lang w:val="en-US" w:eastAsia="en-US" w:bidi="ar-SA"/>
        </w:rPr>
        <w:t>, Dickson J. (as she then was) made the following statement regarding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Pleadings define the issues of fact and law for determination in an action. Amongst other things, they give opposing parties fair notice of the case to be met and provide the boundaries and context for document disclosure: </w:t>
      </w:r>
      <w:r>
        <w:rPr>
          <w:rFonts w:ascii="arial" w:eastAsia="arial" w:hAnsi="arial" w:cs="arial"/>
          <w:i/>
          <w:color w:val="000000"/>
          <w:sz w:val="20"/>
          <w:lang w:val="en-US" w:eastAsia="en-US" w:bidi="ar-SA"/>
        </w:rPr>
        <w:t>Lax Kw'alaams Indian Band v. Canada (Attorney General)</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SCC 56</w:t>
        </w:r>
      </w:hyperlink>
      <w:r>
        <w:rPr>
          <w:rFonts w:ascii="arial" w:eastAsia="arial" w:hAnsi="arial" w:cs="arial"/>
          <w:color w:val="000000"/>
          <w:sz w:val="20"/>
          <w:lang w:val="en-US" w:eastAsia="en-US" w:bidi="ar-SA"/>
        </w:rPr>
        <w:t xml:space="preserve">, para. 43;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para. 5. For this reason, if a party has been unfairly disadvantaged by a failure to raise, or properly particularise, an issue in pleadings the court should not determine that issue. If it does so, the result will be set aside: </w:t>
      </w:r>
      <w:r>
        <w:rPr>
          <w:rFonts w:ascii="arial" w:eastAsia="arial" w:hAnsi="arial" w:cs="arial"/>
          <w:i/>
          <w:color w:val="000000"/>
          <w:sz w:val="20"/>
          <w:lang w:val="en-US" w:eastAsia="en-US" w:bidi="ar-SA"/>
        </w:rPr>
        <w:t>Clayton v. Crosby</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2011 BCSC 1000</w:t>
        </w:r>
      </w:hyperlink>
      <w:r>
        <w:rPr>
          <w:rFonts w:ascii="arial" w:eastAsia="arial" w:hAnsi="arial" w:cs="arial"/>
          <w:color w:val="000000"/>
          <w:sz w:val="20"/>
          <w:lang w:val="en-US" w:eastAsia="en-US" w:bidi="ar-SA"/>
        </w:rPr>
        <w:t xml:space="preserve">, paras. 40-42; </w:t>
      </w:r>
      <w:r>
        <w:rPr>
          <w:rFonts w:ascii="arial" w:eastAsia="arial" w:hAnsi="arial" w:cs="arial"/>
          <w:i/>
          <w:color w:val="000000"/>
          <w:sz w:val="20"/>
          <w:lang w:val="en-US" w:eastAsia="en-US" w:bidi="ar-SA"/>
        </w:rPr>
        <w:t>Wu v. Sun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2010 BCCA 455</w:t>
        </w:r>
      </w:hyperlink>
      <w:r>
        <w:rPr>
          <w:rFonts w:ascii="arial" w:eastAsia="arial" w:hAnsi="arial" w:cs="arial"/>
          <w:color w:val="000000"/>
          <w:sz w:val="20"/>
          <w:lang w:val="en-US" w:eastAsia="en-US" w:bidi="ar-SA"/>
        </w:rPr>
        <w:t xml:space="preserve">, paras. 19 &amp; 20; </w:t>
      </w:r>
      <w:r>
        <w:rPr>
          <w:rFonts w:ascii="arial" w:eastAsia="arial" w:hAnsi="arial" w:cs="arial"/>
          <w:i/>
          <w:color w:val="000000"/>
          <w:sz w:val="20"/>
          <w:lang w:val="en-US" w:eastAsia="en-US" w:bidi="ar-SA"/>
        </w:rPr>
        <w:t>Bottrell v. Bottrell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[1994] B.C.J. No. 380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Contrary to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alleged misrepresentations that are now advanced by the Plaintiffs were not particularized or alleged in the Notice of Civil Claim, nor were they particularized in the Reply to Demand for Particulars of the Plaintiffs, nor were they referred to in the Trial Brief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Bilfinger Berger (Canada) Inc. v. Greater Vancouver Water District</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2013 BCSC 2324</w:t>
        </w:r>
      </w:hyperlink>
      <w:r>
        <w:rPr>
          <w:rFonts w:ascii="arial" w:eastAsia="arial" w:hAnsi="arial" w:cs="arial"/>
          <w:color w:val="000000"/>
          <w:sz w:val="20"/>
          <w:lang w:val="en-US" w:eastAsia="en-US" w:bidi="ar-SA"/>
        </w:rPr>
        <w:t>, Griffin J. (as she then was)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Rule 3-7(18), a party alleging misrepresentation is to provide full particulars, with dates and items if applicable. Where possible this means providing each instance on which an alleged misrepresentation is made, as held in </w:t>
      </w: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particulars is to provide the other side with adequate notice of the claim against it so that it may prepare for trial and avoid surprise at trial, and to tie down the allegations of the party providing the particulars: </w:t>
      </w:r>
      <w:r>
        <w:rPr>
          <w:rFonts w:ascii="arial" w:eastAsia="arial" w:hAnsi="arial" w:cs="arial"/>
          <w:i/>
          <w:color w:val="000000"/>
          <w:sz w:val="20"/>
          <w:lang w:val="en-US" w:eastAsia="en-US" w:bidi="ar-SA"/>
        </w:rPr>
        <w:t>No. 1 Collision Repair &amp; Painting (1982) Ltd. v. Insurance Corp. of B.C</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(1995), 30 C.C.L.I. (2d) 149</w:t>
        </w:r>
      </w:hyperlink>
      <w:r>
        <w:rPr>
          <w:rFonts w:ascii="arial" w:eastAsia="arial" w:hAnsi="arial" w:cs="arial"/>
          <w:color w:val="000000"/>
          <w:sz w:val="20"/>
          <w:lang w:val="en-US" w:eastAsia="en-US" w:bidi="ar-SA"/>
        </w:rPr>
        <w:t xml:space="preserve"> (B.C.S.C.)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the authorities, particulars may be supplemented or amended as more information is known. However the starting point is precision, not generalities, and if further examples become known they can be added by way of further particulars: see Rule 3-7(20);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(1994), 49 A.C.W.S. (3d) 871</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view of the failure of the Plaintiffs in their pleadings to allege that statements said to have been made by Ivy or by May on behalf of Ivy amounted to misrepresentation, in view of the failure of the Plaintiffs to comply with Rule 7(18), and in view of the failure to particularize what statements amounted to misrepresentations in their Reply to Demand for Particulars, I dismiss any claims by the Plaintiffs that they suffered damages as a result of misrepresentations made by Ivy or by May on behalf of Ivy. The claim of the Plaintiffs for damages for negligent misrepresentations or misrepresentations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If I am found to be incorrect in arriving at this conclusion, I will deal with what are said to be misrepresentations as if I was required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basic elements of a negligent misrepresentation claim are that there must be a duty of care based on a "special relationship" between the representor and the representee, the representation in question must be untrue, inaccurate, or misleading, the representor must have acted negligently in making the misrepresentation, the representee must have relied on the negligent misrepresentation in a reasonable manner, and the reliance must have been detrimental to the representee in the sense that damages resulted: </w:t>
      </w:r>
      <w:r>
        <w:rPr>
          <w:rFonts w:ascii="arial" w:eastAsia="arial" w:hAnsi="arial" w:cs="arial"/>
          <w:i/>
          <w:color w:val="000000"/>
          <w:sz w:val="20"/>
          <w:lang w:val="en-US" w:eastAsia="en-US" w:bidi="ar-SA"/>
        </w:rPr>
        <w:t>Burke v. Watson &amp; Barnard (A Firm)</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2016 BCCA 439</w:t>
        </w:r>
      </w:hyperlink>
      <w:r>
        <w:rPr>
          <w:rFonts w:ascii="arial" w:eastAsia="arial" w:hAnsi="arial" w:cs="arial"/>
          <w:color w:val="000000"/>
          <w:sz w:val="20"/>
          <w:lang w:val="en-US" w:eastAsia="en-US" w:bidi="ar-SA"/>
        </w:rPr>
        <w:t xml:space="preserve"> at para. 66 and </w:t>
      </w:r>
      <w:r>
        <w:rPr>
          <w:rFonts w:ascii="arial" w:eastAsia="arial" w:hAnsi="arial" w:cs="arial"/>
          <w:i/>
          <w:color w:val="000000"/>
          <w:sz w:val="20"/>
          <w:lang w:val="en-US" w:eastAsia="en-US" w:bidi="ar-SA"/>
        </w:rPr>
        <w:t>Boyd v. Cook</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2016 BCCA 424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general, the law presumes that there is no duty of care between parties at arm's length during pre-contract negotiations. This is because the concept of negotiation is based on the premise that the parties will selectively acquire and disclose information to their benefit. The law does not require altruism in negotiations. Justices Iacobucci and Major summarized this principle as follows in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if not most commercial negotiations, an advantageous bargaining position is derived from the industrious generation of information not possessed by the opposite party as opposed to its market position as here. Helpful information is often a by-product of one party expending resources on due diligence, research or other information gathering activities. It is apparent that successful negotiating is the product of that kind of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defeat the essence of negotiation and hobble the marketplace to extend a duty of care to the conduct of negotiations, and to label a party's failure to disclose its bottom line, its motives or its final position as negligent. Such a conclusion would of necessity force the disclosure of privately acquired information and the dissipation of any competitive advantage derived from it, all of which is incompatible with the activity of negotiating and bargaining.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66 and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Although negotiations do not create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may create a duty of care in negligent misrepresentation if there is a "special relationship" between the person making the representation and the person relying on it. The test for whether a "special relationship" exists between the parties was set out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where La Forest J.,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Cognos,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supra, at p. 110, the plaintiff and the defendant can be said to be in a "special relationship" whenever these two factors inhere.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Since the reliance of a plaintiff must be reasonable in the circumstances, a representation to a potential purchaser or investor will not create a "special relationship" if a reasonable person would be expected to make further inquiries into that representation. In many cases, courts have held that unreasonable reliance by the plaintiff prevents a duty of care from arising in relation to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the Court held that a realtor's statements that a hotel had a good clientele and that it was in good shape were not negligent misrepresentations. The Court held that the plaintiff, who was considering making a large investment, did not act reasonably by blindly accepting the realtor's vague statements concerning profitability. Accordingly, no duty of care arose: at pp. 11-14. In other cases, courts have held that the arm's length relationship between the parties could not constitute a "special relationship". This concern is especially important when a defendant is trying to obtain investment funds from a plaintiff, since they are effectively trying to "sell" the plaintiff on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Here, I can find no "special relationship" arises as between Ivy and the Plaintiffs or as between the Plaintiffs and May as the agent of Ivy. It would be unreasonable for them to rely on the alleged misrepresentations made by Ivy or by May on behalf of Ivy in that:</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Liu had no prior relationship with Ivy and there was no evidence tendered that Liu trusted Ivy;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Ivy had no special knowledge or experience in the immigration/foreign workers industry. Rather, she had a background with a marble company;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Liu had some involvement in very similar projects in the past (also involving May, Jenny, and Overseas) including a project where no workers were successfully placed in Canada. Therefore, Liu and Jenny were in a better positon than Ivy to understand the risks of such a program. Through Jenny, Liu had considerable knowledge about similar projects, their goal, and their operation. The Plaintiffs were not looking to Lui and/or May on behalf of Lui for advice regarding this project;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series of meetings between Liu, Ivy and May where any alleged representations took place occurred in April of 2009. The funds in question were not advanced to Rainbow until August 14, 2009. The Plaintiffs had more than three months to consider the matter and conduct her own due diligence. As well, prior to any funds being advanced, the corporate details of Rainbow and Immigration 911 were provided to Jenny and, as was the evidence of both Ivy and May which I accept, to Liu;</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Liu, although she sought to portray herself as a simple housewife, was a doctor of internal medicine in China with residences in both Canada and China. Her husband was an experienced businessperson with whom Liu discussed the matter before advancing any funds to Rainbow. Liu had the resources, time and ability to make her own inquiries and did so;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Jenny, has an MBA and was involved in similar projects in the past and was directly involved in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to concluding that there was no "special relationship" between the Plaintiffs and Ivy or between the Plaintiffs and May on behalf of Ivy, I cannot conclude that there was reliance in a reasonable manner or at all. Lui did not testify that she relied on the representations that are set out in the Notice of Civil Claim. The claim of the Plaintiffs for damages for negligent misrepresentation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WHERE THERE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assumption that the statements attributed to one or more of the Defendants were relied upon by the Plaintiffs and which are alleged to be misrepresentations, were the statements made actually misrepresentations?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There would be repayment within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I can find that the payment within three months was promised and that payment was not made within three months, I also find that this deadline was extended by the Plaintiffs to as late as March of 2010. Accordingly, I can conclude that either there was no reliance on this representation or that there was an agreement to extend the time during which the funds advanced by Liu to Rainbow would be returned. I also find that any breach of any promise to pay within three months amounts to a breach of contract rather than creating a claim for damages for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money would be advanced to Ivy and not to 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clear that Jenny was aware of Rainbow at the latest by August 12, 2009 when she received the corporate information about Rainbow. In fact, they forwarded a copy of the Letter to Jenny on July 28, 2009 authorizing Jenny "as a special agent of Rainbow" to be responsible for the recruitment of labour service workers from China. Additionally, Jenny was aware of the relationship between Rainbow and Overseas when she signed the Revised Agreement. In addition to concluding that Jenny was the agent of Liu to receive the information about Rainbow so that she would be aware that the money would be advanced to Rainbow and not to Ivy personally, I accept the testimony of May who stated that Ivy explained to Lui "that she would use Rainbow to do the "business" and that, while Ivy said that she did not discuss the specific company with Liu, "they (Lui and Jenny) just knew there was such a company". "I mentioned I had this company which would cooperate with the company in Quebec". I record May as stating: "I recall, Ivy said she would use Rainbow". "I can't remember whether she said the name or just said "her company". "From day 1, I insisted it be a company". "The actual name I knew when I received the notarized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Under cross examination, Ivy was asked about the documents and stated that Lui stated she would "...need documents about a company, I said I would arrange". "Rainbow and the Quebec company". "Lui asked for the documents". "I arranged for May to send it to her [Jenny]". Under cross examination, Ivy stated that the request for the 911 documents was made in June and that they were provided by the middle or end of July. As to why Lui needed the documents, Ivy testified under cross examination: "She said she would need documents prepared as a Chinese company would need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Jenny signed the Revised Agreement she would have seen that Rainbow was set out as being the "Party A". If there was some confusion in her mind as to the involvement of Rainbow, she made no protest and did not question the involvement of Rainbow at that time or at anytime until the Notice of Civil Claim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well, the note provided by Ivy, the document received from the bank of Lui and Mr. Chen, and the August 14, 2009 receipt all indicated Rainbow. It is simply not credible that Lui would not have noticed the involvement of Rainbow when she provided the funds to Rainbow on August 14, 2009. As well, it is simply not believable that she would not be aware until her Discovery of the involvement of Rainbow or that she would not have provided the August 14, 2009 receipt to either her husband or to Jenny for their review.</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There was no risk to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Under cross-examination, Liu was asked why she did not ask Ivy if there was any risk and she replied: "Whatever things you engaged in there would be a risk so I should ask her". She stated, "No risk". "I felt I had to ask". She said no risk as a lawyer was helping when asked why she asked even though she did not know Ivy at the time, Liu stated: "I didn't know her but knew Ma". "I trusted both". "No risk as a lawyer involved". Accordingly, I can conclude that any representation as to risk was not relied upon by Liu or Jenny.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Was there a prominent law firm in Quebec involved and were there "special connections"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the first meeting on April 19, 2009, May said that Ivy "knew" a "big lawyer" in Quebec. I record Lui as testifying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Ivy told me she knew a lawyer from Quebec - he very capable - worked before in Immigration Department is doing projects in labour export had good relationship with visa officer could get visa very quick his law firm was biggest in Quebec". "Ivy said no problem as lawyer went to Beijing embassy to review application material with visa officer once approval was made the visa would be issued immediately if no approval the lawyer could sue the visa officer on the spot I asked Ivy is there not a risk she said none at all said her mother's student was working at the law firm". "I had a high level of trust in lawyers". "I trusted my friend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Under cross-examination, Liu stated: "A former officer in the immigration department. He doing the project with the government". Lui confirmed that she did not ask May or Ivy the details about the lawyer including the name of the lawyer or the name of his or her firm: "I did not ask". Lui confirmed that she did not consult a lawyer but "I consulted with May". "Ivy said lawyer would go to Beijing and get the visas".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record Jenny as stating at Trial: "I knew there was a lawyer from a Quebec law firm". She was told that the firm "was the biggest firm in Quebec". The September 14, 2009 email from May to Jenny indicated that she had worked "with the lawyer". Jenny confirmed that the lawyer's name was Labelle and that one of the four people that she met at the airport introduced himself as the lawyer. There were two translators from the firm that also were met by her. Jenny admitted that she was told that the attachment from May was the certificate of the Quebec law firm and regarding what was attached, "I took a quick look". Jenny confirmed that she had heard about the law firm after March of 2010, "I was told about it from May it was a law firm" but she indicated that she "later discovered it was not a law firm but an immigration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Regarding the presence of a law firm and the involvement of Immigration 911, I record Ivy as stating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was "engaged in business of labourers and immigration. It had its own lawyers. Located in Quebec". She stated that 911 "asked me to prepare documents required for the visa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cross-examination, Ivy was asked whether Liu asked about a lawyer and she stated: "I said Quebec there was lawyers taking care of this". She was asked whether she told lawyers were experienced and had connections in China and Ottawa and would smooth things out for her and she responded: "I did not say in such specifics. That the lawyers would prepare the documents and then would submit them for visas did not say who had connections with whom". "Connection was not the most important what was important was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May testified that she referred to the Quebec law firm as the "immigration firm" "company would hire who would do the paper work for the skilled workers". Under cross-examination, May denied that she had said that they were working with a law firm in Quebec. Rather, she described it as follows: "Firm who hired lawyer". Initially, however, she indicated that they did not discuss Immigration 911. When asked whether Ivy spoke about Quebec and mentioned the term "law firm", May stated: "no she said company - I use law firm as they hired a law firm". She also denied that Ivy said that the company had connections with the Quebec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it was not a misrepresentation for Ivy or May on behalf of Ivy to describe the involvement of a lawyer as they did. In any event, Jenny on her own behalf and on behalf of her mother received information about Immigration 911 on August 1, 2009 with one of the founders of that company being Jean-Michel Labelle of Montreal whom Jenny later confirmed was the name of the lawyer that she dealt with. I find that there was a Quebec lawyer involved and that it would be correct to say that the lawyer was experienced in applications to bring workers into Canada. In coming to this conclusion, I am also satisfied that Plaintiffs have not proven on a balance of probabilities that it was represented the law firm was the "biggest in Quebec", the lawyer involved was a former officer in the immigration department, and that lawyer was only a part of a "Immigration firm". I also hold that the Plaintiffs have not proven on a balance of probabilities that they relied upon what what said and have suffered damages as a result. In this regard, I am satisfied as well that they had ample opportunity to do their own due diligence regarding the legal assistance they could rely upon to assist in the Project. I am also satisfied that no damages accrued to the Plaintiffs relating to the alleged misrepresentations relating to the legal services available and the experience of the lawyer.</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money would be repaid by 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clear that the money was advanced to Rainbow. I do not accept the evidence of Ivy that she did not understand that this was the case when she executed the necessary documents at her bank to make funds available to Rainbow. In the documents executed by Ivy on behalf of Rainbow, it is made clear that Ivy was signing as the "Chair of the board" of Rainbow. In particular, Jenny on behalf of her mother, acknowledged the role of Rainbow in the Letter of August 9, 2009. As well, there is nothing in the evidence after August of 2009 to indicate that Liu and/or Jenny were looking to Ivy for repayment. In fact, the March 24, 2010 "Letter of Promise" was signed by May and not by Ivy. If the Plaintiffs were looking to Ivy for reimbursement, obtaining this "Promise" from May is inconsistent with that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Rainbow is a distinct entity from Ivy and there is nothing which would allow me to conclude that Ivy should be responsible for any alleged breach of the contractual obligations of Rainbow.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Conclusions about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Trial, Lui did not state that she relied on what was said to her by Ivy or by May on behalf of Ivy. In any event, I find that the statements made which may or may not be described by the Plaintiffs as misrepresentations were not. Accordingly, the claim of the Plaintiffs for damages arising out of alleged misrepresentations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IN CONTRACT AGAINST RAINBOW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money advanced by Liu went to Rainbow. While I find that Ivy on behalf of Rainbow initially promised that the monies would be repaid within three months, I also find that this deadline was extended beyond March of 2010. Rainbow has not returned the $220,500 although demand for the return was made. In the circumstances, Liu will have judgment against Rainbow in the sum of $220,500 with pre-judgment interest on that sum from and after March 24,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OF JENNY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While all of the $220,500 advanced is claimed by Jenny, it is clear that no part of that sum was advanced by her. As no claim is made for the $10,000 Jenny advanced to Rainbow, there can be no judgment in favour of Jenny for that amount. Similarly, as no part of the $220,500 was advanced by Jenny to Rainbow, that part of the claim of Jenny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claim of Jenny against Ivy and Rainbow is dismissed. Lui will be entitled to Judgment against Rainbow in the amount of $220,500 with prejudgment interest on that sum from and after March 24, 2010. Any other claims advanced on behalf of the Plaintiffs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Marrello v. Okinshaw Water Co., [2017] B.C.J. No. 1821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and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15-17, 20-24, April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1821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1618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Ann Marrello and Mike Marrello, Plaintiffs, and Okinshaw Water Company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26"/>
      <w:bookmarkEnd w:id="178"/>
      <w:r>
        <w:rPr>
          <w:rFonts w:ascii="arial" w:eastAsia="arial" w:hAnsi="arial" w:cs="arial"/>
          <w:b/>
          <w:color w:val="000000"/>
          <w:sz w:val="20"/>
          <w:lang w:val="en-US" w:eastAsia="en-US" w:bidi="ar-SA"/>
        </w:rPr>
        <w:t>Contracts — Breach of contract — Action by plaintiffs for damages for breach of contract dismissed — Parties executed agreement under which defendant was to buy plaintiffs' property for $4 million, including $1.5 million to be paid when title was clear — Defendant breached contract by failing to pay $1.5 million when title was clear, but plaintiffs failed to prove damages — Considering that plaintiffs re-sold property for same price, they more than mitigated any damages that they might have suffered.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Action by plaintiffs for damages for breach of contract dismissed — Parties executed agreement under which defendant was to buy plaintiffs' property for $4 million, including $1.5 million to be paid when title was clear — Defendant breached contract by failing to pay $1.5 million when title was clear, but plaintiffs failed to prove damages — Considering that plaintiffs re-sold property for same price, they more than mitigated any damages that they might have suffered.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Agreement of purchase and sale — Breach of — Express term — Damages — Purchase price — Purchaser — Duties and obligations — Terms — Express terms — Remedies — Damages — Action by plaintiffs for damages for breach of contract dismissed — Parties executed agreement under which defendant was to buy plaintiffs' property for $4 million, including $1.5 million to be paid when title was clear — Defendant breached contract by failing to pay $1.5 million when title was clear, but plaintiffs failed to prove damages — Considering that plaintiffs re-sold property for same price, they more than mitigated any damages that they might have suffered.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26"/>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for damages for breach of contract. The parties executed an agreement under which the defendant was to buy the plaintiffs' property for $4 million, including $1.5 million to be paid when title was clear. The defendant made some of the other required payments and took possession, but did not pay the $1.5 million when title was clear. The plaintiffs sold the property to another purchaser for $4 million, but claimed damages for lost rental income while the defendant was in possession. The defendant's president testified that he was led to believe that title would be cleared well before it was and that the defendant required clear title in order to obtain financing to make the payment.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0" w:name="Holdings of Court_22"/>
            <w:bookmarkEnd w:id="18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breached the contract by failing to pay the $1.5 million when title was clear. The failure to pay a significant portion of the purchase price was a fundamental breach. The payment clause was clear and did not provide for a gap in time between the clearing of title and payment or make payment conditional on financing. However, the plaintiffs failed to prove any damages. The plaintiffs provided no evidence about the rental market or the availability of possible tenants. Considering that the plaintiffs re-sold the property for the same price, they more than mitigated any damages that they might have suffered.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Legislation Cited_20"/>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Title Act, </w:t>
      </w:r>
      <w:hyperlink r:id="rId728" w:history="1">
        <w:r>
          <w:rPr>
            <w:rFonts w:ascii="arial" w:eastAsia="arial" w:hAnsi="arial" w:cs="arial"/>
            <w:i/>
            <w:color w:val="0077CC"/>
            <w:sz w:val="20"/>
            <w:u w:val="single"/>
            <w:shd w:val="clear" w:color="auto" w:fill="FFFFFF"/>
            <w:lang w:val="en-US" w:eastAsia="en-US" w:bidi="ar-SA"/>
          </w:rPr>
          <w:t>RSBC 1996, c. 250, s. 34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2" w:name="Counsel_26"/>
      <w:bookmarkEnd w:id="1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R.J. Lesperance.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Agent for the Defendant: W. Rutherford.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26"/>
      <w:bookmarkEnd w:id="183"/>
      <w:r>
        <w:pict>
          <v:line id="_x0000_s1162"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R.A. SKOLROOD J."/>
            <w:bookmarkEnd w:id="18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involves a failed transaction for the purchase and sale of a water-bottling facility and related property located near Nelson, B.C. The plaintiffs, Deborah and Mike Marrello, who are married, were the vendors in the transaction and the defendant, Okinshaw Water Company Ltd. ("Okinshaw"), the intended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damages flowing from the failed transaction. The defendant has counterclaimed, alleging misrepresentations made by or on behalf of the plaintiffs and that the plaintiffs did not comply with the terms of closing by failing to deliver certain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case is somewhat unusual in that the defendant made a down payment and some additional payments towards the purchase of the property, as required under the contract of purchase and sale, and assumed possession of the property. However, it subsequently failed to make additional required payments and it was evicted from the property. When it left, it took equipment and other chattels from the water bottling facility, which forms the basis for much of the plaintiffs'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was represented by counsel until shortly before trial. At trial, the defendant was represented by its president and principal shareholder, Mr. Wayne Rutherford.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was considerable evidence led by both parties about their dealings and there are numerous differences in their respective versions of events. I will provide a general overview of the background facts at the outset and then will deal with the evidence in greater detail, as needed, when addressing the issues that arise. As will be seen, it is not necessary to resolve all of the factual disputes between the parties as many do not bear on the outcome. Ultimately, the case turns largely on the uncontroverted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real property in issue is an approximately 5.75 acre parcel of land (the "Property") that was originally purchased by the plaintiffs in 1973. The Marrellos lived on the Property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 about 2002, while drilling on the Property, the Marrellos discovered an aquifer located some 500 plus feet below the surface. By all accounts, the water in the aquifer has unique characteristics in terms of its mineral content, which make it particularly attractive for the purpose of bottling and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Since the time the aquifer was first discovered, a number of attempts have been made to do just that. All have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specific details of the previous failed business attempts are not directly relevant to the issues that arise here, and the evidence about those ventures was minimal. What is relevant is that as a result of these various failed ventures, as of 2012, the Marrellos were heavily in debt; the Property was no longer registered in Ms. Marrello's name and it was heavily encumbered.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around that time that a member of the Marrellos' church introduced them to a man named Narvin Edwardson, who was described as someone with a business background that might be able to help them resolve some of the disputes surrounding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Edwardson is an 84-year-old man with a checkered past that includes both criminal convictions for fraud and securities offences that resulted in an order of the British Columbia Securities Commission prohibiting Mr. Edwardson from trading in securities or acting as a director or officer of any securities issuer.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Marrellos both testified that they were made aware of Mr. Edwardson's past when he was first introduced to them and Mr. Edwardson acknowledged that past in his testimony, although few details were provided. Mr. Edwardson described himself as currently involved in various ministries in which he helps people in need, including people like the Marrellos.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2012, Mr. Edwardson met Mr. Rutherford by chance on a ferry travelling between Nanaimo and Horseshoe Bay. They struck up a conversation which included a discussion about the Property. At the end of the ferry ride, they exchanged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Sometime after that initial meeting, Mr. Rutherford and Mr. Edwardson spoke again by phone. There is a dispute in the evidence about whether Mr. Edwardson phoned Mr. Rutherford or </w:t>
      </w:r>
      <w:r>
        <w:rPr>
          <w:rFonts w:ascii="arial" w:eastAsia="arial" w:hAnsi="arial" w:cs="arial"/>
          <w:i/>
          <w:color w:val="000000"/>
          <w:sz w:val="20"/>
          <w:lang w:val="en-US" w:eastAsia="en-US" w:bidi="ar-SA"/>
        </w:rPr>
        <w:t>vice versa</w:t>
      </w:r>
      <w:r>
        <w:rPr>
          <w:rFonts w:ascii="arial" w:eastAsia="arial" w:hAnsi="arial" w:cs="arial"/>
          <w:color w:val="000000"/>
          <w:sz w:val="20"/>
          <w:lang w:val="en-US" w:eastAsia="en-US" w:bidi="ar-SA"/>
        </w:rPr>
        <w:t xml:space="preserve"> but nothing turns on who made the call. Thereafter, in July 2012, Mr. Edwardson arranged for Mr. Rutherford to meet the Marrellos at their home in Nanoose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with most of their dealings, the Marrellos, Mr. Edwardson and Mr. Rutherford differ on the details of this meeting. Again, the specific details of what was discussed at the meeting are not particularly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One point of disagreement between the parties is that Mr. Rutherford testified that his initial intention was to help the Marrellos sell the Property, rather than purchase it himself, whereas the Marrellos understood that Mr. Rutherford was interested in buying the Property from the outset. Regardless of the initial intention, there is no issue that ultimately it was Okinshaw that entered into the contract to buy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Another point of disagreement concerns the role of Mr. Edwardson. Mr. Rutherford testified that he dealt almost exclusively with Mr. Edwardson, who was acting as an agent or representative of the Marrellos. For example, Mr. Rutherford said that he negotiated the terms of the transaction, including the purchase price, with Mr. Edwardson. In contrast, the Marrellos and Mr. Edwardson characterized his involvement as that of a consultant to the Marrellos and that the Marrellos always maintained final decision-making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that meeting, Mr. Rutherford asked to tour the Property, which Mr. Edwardson arranged. Mr. Rutherford was accompanied on the tour by his wife, Tara Wood; his brother-in-law, Marvin Fenrich; and David Schwartz, a friend and former Coca-Cola employee. While Mr. Edwardson accompanied them to the Property, the tour was conducted by Brian (B.J.) MacKinnon, the plant manager of a previous operator, who at the time was living at the Property as a caretaker.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MacKinnon testified that during the tour of the Property, Mr. Rutherford stated that he wanted to produce bottled water on a large scale but Mr. MacKinnon told him that was not possible with the existing equipment. Mr. MacKinnon says that he told Mr. Rutherford that the water bottling plant had not been operational since 2009. He also told Mr. Rutherford that some neighbors had temporary access to the aquifer because a previous operator of the bottling facility had inadvertently dug up the neighbors' water line. Mr. Rutherford denies being told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17, 2013, the Marrellos and Okinshaw executed the Agreement of Purchase and Sale of Assets (the "Contract") which provided in clause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Purchaser agrees to buy and the Sellers agree to sell to the Purchaser where is and as is, all the undertaking and assets owned by the Sellers including, without limiting the generality of the foregoing:</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and buildings more particularly described in Schedule "A" (the "property");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furniture, fixtures and equipment more particularly described in Schedule "B" (the "equipment");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saleable stock in trade (the "stock in trade");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useable parts and supplies (the "parts and supplies");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leasehold/rent interest in the property held by the Sellers (the "lease agreement" or "rent agreement");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goodwill and water rights of the business together with the exclusive right to the Purchaser to represent itself as carrying on business in succession to the Sellers and to use the business style of the business and variations in the business to be carried on by the Purchaser (the "goodwill and water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common ground, with respect to clause 1.1(b), that no Schedule "B" list of equipment was included with the Contract when it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Clause 2.1 set out the purchase price, totalling $4,000,000, to be paid by Okinshaw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purchase price payable for the undertaking and assets to be bought and sold is the total of the amounts computed and allocated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property-One Million and Three Hundred and Twenty Thousand Dollars ($1,320,000.00);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equipment-Six Hundred and Fifty Thousand Dollars ($650,000);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stock in trade-Five Thousand Dollars ($5,000);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parts and supplies-Twenty Five Thousand Dollars ($25,000);</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goodwill and water rights included with the property-Two Million dollars ($2,000,000.00);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other assets sold (free and clear of all encumbrances) as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Clause 3 dealt with the terms of payment: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Sellers will acknowledge receiving a deposit in the form of a certified cheque, bank draft or bank transfer for Seventy Five Thousand Dollars ($75,000.00) payable to Deborah Ann Marrello on or by April 17, 2013 from the Purchaser upon execution. This is non refundable in the event that the sale does not proceed due to non performance of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balance of the purchase price for the undertaking and assets agreed to be bought and sold shall be paid, subject to adjustments, as follows: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Hundred Twenty Five Thousand Dollars ($425,000.00) by certified cheque, bank draft or bank transfer on or about May 31, 2013. This money is to be used to pay court costs regarding CPL's, taxes and encumbrances on the property. Equipment, stock and supplies will be released by the Sellers to the Purchaser and used as collateral.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Million Five hundred Thousand Dollars ($1,500,000.00) by certified cheque, bank draft or bank transfer within twelve months after closing once all liens, writs encumbrances of the property have been removed or when title is free and clear;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Million dollars ($1,000,000.00) by certified cheque, bank draft or bank transfer on or before the anniversary date one (1) year after the date of the payment made for 3.2(b);</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Million Dollars ($1,000,000.00) by certified cheque, bank draft or bank transfer on or before the anniversary date two (2) years after the date of the payment made for 3.2(b);</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 Percent (10%) equity in Okinshaw Bottling Company Ltd. to be issued as non-voting shares within twelve (12) months after closing. The type and class are to be determined by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there is some dispute in the evidence about the mechanics of how it was done, it is common ground that Okinshaw paid the $75,000 deposit required by clause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in April 2013, Mr. Rutherford was introduced to representatives of Granite Falls Company ("Granite Falls"), a distributor that expressed interest in distributing Okinshaw's bottled water products. Mr. Marrello had been introduced to a representative of Granite Falls by a friend and he in turn introduced Granite Falls to Mr. Rutherford and Okinshaw.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Rutherford testified that Granite Falls was presented to him as a well-established business with an existing distribution network that could be used to sell all of Okinshaw's production. In contrast, Mr. Marrello testified that he had no pre-existing relationship with Granite Falls and that he, along with Mr. Edwardson, simply facilitated the introduction to Okinshaw.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meeting was arranged between Okinshaw and Granite Falls that took place in Victoria on April 23, 2013. At that meeting, and in subsequent correspondence, Granite Falls represented to Okinshaw that it would be able to assist Okinshaw in developing markets for Okinshaw's products. It later became apparent that Granite Falls had significantly oversold itself and Okinshaw now alleges that Granite Falls' capabilities were misrepresented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31, 2013, Okinshaw paid the Marrellos $425,000 pursuant to clause 3.2(a) of the Contract. In conjunction with that payment, the Marrellos executed a document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payment of $425,000, this will confirm that Okinshaw Water Company Ltd. has clear title/owns the equipment on Schedule "B" as well as the inventory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Also on May 31, 2013, an Addendum Agreement (the "Addendum") was signed which, among other things, added the Schedule "B" list of equipment that was included as part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Shortly thereafter, Okinshaw took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Contract was then further amended by an agreement signed on December 12, 2013 (the "Amendment"), the principal provision of which eliminated the Marrellos' proposed 10% interest in Okinshaw, as provided for in clause 3.2 of the Contract, and instead provided for monthly payments of $10,000 to the Marrellos to be credited against the purchase price. Okinshaw made these payments up until August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From May 31, 2013 to May 31, 2014, the date that the next payment of $1.5 million was required under the Contract, the Marrellos took steps to clear the encumbrances off title and have title reinstated in Ms. Marrello's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Norm Evans, a solicitor retained by the Marrellos to act for them on the transaction, testified that clear title was achieved by May 30, 2014. Mr. Evans provided confirmation of that fact to Okinshaw's lawyer in a letter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Notwithstanding that the Marrellos were able to deliver clear title as of May 30, 2014, Okinshaw did not make the required payment of $1.5 million on May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Thereafter, Okinshaw, through Mr. Rutherford, made a number of proposals to salvage the transaction, however none of the proposals were acceptable to the Marrellos. Ultimately, the Marrellos concluded that the deal was dead and they commenced this action on December 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June 2015, Okinshaw registered a certificate of pending litigation [CPL]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December 2015, the Marrellos entered into an agreement with a new purchaser who agreed to buy the Property for $4,000,000 with an effective closing date of March 15, 2016, later extended to May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February 2016, the Marrellos applied to have Okinshaw's CPL removed. The Court ordered removal of the CPL on the basis that the Marrellos post $600,000 in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Okinshaw remained in possession of the Property until July 2016 when it was evicted by the new owner. When it vacated the Property, Okinshaw took with it the equipment from the water bottling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Marrellos submit that Okinshaw breached the Contract by failing to make the payment of $1.5 million on May 31, 2014 and further by discontinuing the monthly payments of $10,000 required under the Amendment in August 2014. They claim damages totalling $232,000, consisting of the value of the equipment taken by Okinshaw plus lost rental income from two duplexes on the Property during the period in which Okinshaw remained in possession, less the amounts paid by Okinshaw.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Okinshaw submits that the Marrellos made a number of misrepresentations, some of which induced it to enter into the Contract and that, had it known the truth about a number of key matters, it would have negotiated a different deal. Okinshaw submits further that the Marrellos breached the Contract by failing to provide it with important closing documents which impeded its ability to obtain financing and, in turn, caused it to be unable to make the payments required by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addressing the claims advanced by the parties, I will touch briefly on the issues of credibility and reliability, since each of the parties took issue with the evidence provided by the witnesses for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Sohi v. Sohi</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2015 BCSC 1043</w:t>
        </w:r>
      </w:hyperlink>
      <w:r>
        <w:rPr>
          <w:rFonts w:ascii="arial" w:eastAsia="arial" w:hAnsi="arial" w:cs="arial"/>
          <w:color w:val="000000"/>
          <w:sz w:val="20"/>
          <w:lang w:val="en-US" w:eastAsia="en-US" w:bidi="ar-SA"/>
        </w:rPr>
        <w:t>, Mr. Justice Armstrong said the following about assessing credibility, at paras. 96-97: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Credibility cannot be gauged solely by the test of whether the personal demeanour of the particular witness carried conviction of the truth. The task is to assess the reliable evidence given by each witness and weigh the inherent probabilities and improbabilities of their versions of the events. The test of the truth of the story of a witness must be its harmony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distinction between reliability and credibility can be important. It is not the witness's belief in the truth of their evidence or their sincerity that must be considered but the reliability of that evidence is paramount: </w:t>
      </w:r>
      <w:r>
        <w:rPr>
          <w:rFonts w:ascii="arial" w:eastAsia="arial" w:hAnsi="arial" w:cs="arial"/>
          <w:i/>
          <w:color w:val="000000"/>
          <w:sz w:val="20"/>
          <w:lang w:val="en-US" w:eastAsia="en-US" w:bidi="ar-SA"/>
        </w:rPr>
        <w:t>R. v. Norman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87 C.C.C. (3d) 153</w:t>
        </w:r>
      </w:hyperlink>
      <w:r>
        <w:rPr>
          <w:rFonts w:ascii="arial" w:eastAsia="arial" w:hAnsi="arial" w:cs="arial"/>
          <w:color w:val="000000"/>
          <w:sz w:val="20"/>
          <w:lang w:val="en-US" w:eastAsia="en-US" w:bidi="ar-SA"/>
        </w:rPr>
        <w:t xml:space="preserve"> at 14; </w:t>
      </w:r>
      <w:r>
        <w:rPr>
          <w:rFonts w:ascii="arial" w:eastAsia="arial" w:hAnsi="arial" w:cs="arial"/>
          <w:i/>
          <w:color w:val="000000"/>
          <w:sz w:val="20"/>
          <w:lang w:val="en-US" w:eastAsia="en-US" w:bidi="ar-SA"/>
        </w:rPr>
        <w:t>R. v. W.S.</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90 C.C.C. (3d) 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C.J.S.</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[1996] P.E.I.J. No. 8</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Justice Armstrong went on to cite the well-known decision of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aff'd </w:t>
      </w:r>
      <w:hyperlink r:id="rId73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736"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where she held that conflicting testimony should be assessed in light of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187, citing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737"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Credibility and reliability are not all or nothing propositions. A trier of fact may believe all, part or none of a witness's evidence, and may attach different weight to different parts of a witness's evidence. (See </w:t>
      </w:r>
      <w:r>
        <w:rPr>
          <w:rFonts w:ascii="arial" w:eastAsia="arial" w:hAnsi="arial" w:cs="arial"/>
          <w:i/>
          <w:color w:val="000000"/>
          <w:sz w:val="20"/>
          <w:lang w:val="en-US" w:eastAsia="en-US" w:bidi="ar-SA"/>
        </w:rPr>
        <w:t>R. v. R.(D.)</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latter principle has particular application in this case where there were significant problems with the evidence of many of the lay witnesses. However, there were also aspects of the evidence of many of the witnesses that were believable and that accorded with the "preponderance of probabilities" when considered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that reason, rather than making a sweeping determination of each witness's credibility, I have approached their evidence on the various issues in accordance with the framework set out in the above-noted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would again add that, for the most part, it is not necessary to resolve the various factual disputes because the issues can largely be determined on the basis of the uncontested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Okinshaw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issue that Okinshaw failed to make the payment of $1.5 million on May 31, 2014 as required by clause 3.2(b) of the Contract. The clause required payment "within twelve months after closing once all liens, writs, encumbrances of the property have been removed or when the title is free and clear". Again, Mr. Evans testified that title to the Property was cleared by May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am satisfied that the failure pay a significant portion of the purchase price constitutes a fundamental breach or, to use the language preferred by Cromwell J. in </w:t>
      </w:r>
      <w:r>
        <w:rPr>
          <w:rFonts w:ascii="arial" w:eastAsia="arial" w:hAnsi="arial" w:cs="arial"/>
          <w:i/>
          <w:color w:val="000000"/>
          <w:sz w:val="20"/>
          <w:lang w:val="en-US" w:eastAsia="en-US" w:bidi="ar-SA"/>
        </w:rPr>
        <w:t>Potter v. New Brunswick Legal Aid Services Commission</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2015 SCC 10</w:t>
        </w:r>
      </w:hyperlink>
      <w:r>
        <w:rPr>
          <w:rFonts w:ascii="arial" w:eastAsia="arial" w:hAnsi="arial" w:cs="arial"/>
          <w:color w:val="000000"/>
          <w:sz w:val="20"/>
          <w:lang w:val="en-US" w:eastAsia="en-US" w:bidi="ar-SA"/>
        </w:rPr>
        <w:t xml:space="preserve"> [Potter] at para. 148, a breach of a "sufficiently important term" so as to permit the Marrellos to treat the Contract as at an end and to sue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Rutherford testified that he was led to believe that title to the Property would be cleared well in advance of May 31, 2014 and that Okinshaw required clear title in order to obtain financing to make the further payments required under the Contract. He said he made that clear to the Marrellos and Mr. Edwardson.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clause 3.2(b) is clear on its face and does not permit the interpretation advanced by Mr. Rutherford and Okinshaw. Specifically, the clause does not provide for a gap in time between title being cleared and Okinshaw making the payment, nor does it make the payment conditional on Okinshaw obtaining third party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Okinshaw also argues that the Marrellos failed to negotiate in good faith to find a solution to salvage the transaction after Okinshaw had failed to make the payment. However, once it became apparent that Okinshaw could or would not pay the purchase price, the Marrellos were under no obligation to negotiate a different deal from that agreed to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Marrellos have therefore established that Okinshaw breached the Contract. In the circumstances, it is unnecessary to consider the Marrellos' alternative argument that Okinshaw breached the amendment to the Contract by discontinuing the monthly payments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will return to the issue of damages after addressing Okinshaw's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Many of the misrepresentations alleged by Okinshaw were made by Mr. Edwardson. Thus, a preliminary issue arises as to whether Mr. Edwardson was acting as an agent of the Marrellos. Mr. Rutherford testified that most of his dealings related to the transaction were with Mr. Edwardson, who, in his view, was clearly acting on behalf of the Marrellos. For their part, the Marrellos say that Mr. Edwardson was a consultant for both parties and that he never had authority to bind them, except in relation to certain of the encumbrances on the Property and related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Marrellos executed two limited powers of attorney in favour of Mr. Edwardson: one dated April 22, 2013 to deal with the encumbrances and one dated April 25, 2013 to deal with credit card debt. These powers of attorney were subsequently rescinded and on May 31, 2013, the Marrellos wrote to Okinshaw and stated that Mr. Edwardson "... is not a signing officer nor empowered to represent us in any regards as all Agreements must be signed by us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Despite the protestations of the Marrellos and Mr. Edwardson to the contrary, it is clear on the evidence that Mr. Edwardson was in fact acting as agent for the Marrellos, at least during the period leading up to May 31, 2013. For example, as early as July 5, 2012, the Marrellos referred to Mr. Edwardson as the "project manager" in correspondence with Mr. Rutherford. It is also clear that much of the negotiation over the terms of the Contract was carried out between Mr. Rutherford and Mr. Edwardson.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Further, the Marrellos executed a document dated May 2, 2013 in which they agreed to pay Mr. Edwardson, through his wife's company, a significant "finder's fee" once title to the Property was cleared and Okinshaw had made its required payment of $1.5 million on May 31, 2014. Clearly Mr. Edwardson was being paid for his services in connection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am satisfied that, based on all of the evidence, Mr. Edwardson exercised both actual and apparent authority on behalf of the Marrellos, as those concepts are defined in cases like </w:t>
      </w:r>
      <w:r>
        <w:rPr>
          <w:rFonts w:ascii="arial" w:eastAsia="arial" w:hAnsi="arial" w:cs="arial"/>
          <w:i/>
          <w:color w:val="000000"/>
          <w:sz w:val="20"/>
          <w:lang w:val="en-US" w:eastAsia="en-US" w:bidi="ar-SA"/>
        </w:rPr>
        <w:t>Keddie v. Canada Life Assurance Co.</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1999 BCCA 541</w:t>
        </w:r>
      </w:hyperlink>
      <w:r>
        <w:rPr>
          <w:rFonts w:ascii="arial" w:eastAsia="arial" w:hAnsi="arial" w:cs="arial"/>
          <w:color w:val="000000"/>
          <w:sz w:val="20"/>
          <w:lang w:val="en-US" w:eastAsia="en-US" w:bidi="ar-SA"/>
        </w:rPr>
        <w:t xml:space="preserve"> at paras. 20-24. Ultimately however, little turns on this finding given my conclusions on liability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Okinshaw's allegations of misconduct on the part of the Marrellos are broad and far-reaching, the principal claims of negligent misrepresentation are as follows: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title to the Property would be cleared in a timely manner so as to permit Okinshaw to obtain third party financing. A related allegation is that the Marrellos failed to disclose that they could have transferred title sooner than May 31, 2014;</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Granite Falls had in place an existing distribution network;</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one else had access to the aquifer;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values set out in the Contract for the Property, equipment and other assets were fair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none of these allegations can stand in the face of the specific language used in the Contract, including, in particular, the entire agreement clause found at clause 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conditions, terms or collateral contracts affecting the transaction contemplated in this agreement except as set out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Similar provisions are found in the Addendum and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 and in any event, Okinshaw has failed to establish that the various representations alleged satisfy the test for an actionable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deal first with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Pre-contractual representations not subsequently included in the terms of a contract may be enforceable if it is established that they constitute a binding collateral contract or alternatively, depending on the circumstances, they may support a claim for damages for negligent misrepresentation. This, however, is subject to any express limitations adopted by the parties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Justices La Forest and McLachlin (as she then was), writing for the majority, said at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view, the general rule emerging from this Court's decision in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1986 CanLII 29</w:t>
        </w:r>
      </w:hyperlink>
      <w:r>
        <w:rPr>
          <w:rFonts w:ascii="arial" w:eastAsia="arial" w:hAnsi="arial" w:cs="arial"/>
          <w:color w:val="000000"/>
          <w:sz w:val="20"/>
          <w:lang w:val="en-US" w:eastAsia="en-US" w:bidi="ar-SA"/>
        </w:rPr>
        <w:t xml:space="preserve"> (SCC), </w:t>
      </w:r>
      <w:hyperlink r:id="rId741"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is that where a given wrong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supports an action in contract and in tort, the party may sue in either or both, except where the contract indicates that the parties intended to limit or [negate] the right to sue in tort. This limitation on the general rule of concurrency arises because it is always open to parties to limit or waive the duties which the common law would impose on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principle is of great importance in preserving a sphere of individual liberty and commercial flexibility...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Viewed thus, the only limit on the right to choose one's action is the principle of primacy of private ordering - the right of individuals to arrange their affairs and assume risks in a different way than would be done by the law of tort. It is only to the extent that this private ordering contradicts the tort duty that the tort duty is diminished. The rule is not that one cannot sue concurrently in contract and tort where the contract limits or contradicts the tort duty. It is rather that the tort duty, a general duty imputed by the law in all the relevant circumstances, must yield to the parties' superior right to arrange their rights and duties in a different way. In so far as the tort duty is not contradicted by the contract, it remains intact and may be sued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Our Court of Appeal has confirmed that parties to a commercial contract may agree to exclude any liability in tort: see </w:t>
      </w:r>
      <w:r>
        <w:rPr>
          <w:rFonts w:ascii="arial" w:eastAsia="arial" w:hAnsi="arial" w:cs="arial"/>
          <w:i/>
          <w:color w:val="000000"/>
          <w:sz w:val="20"/>
          <w:lang w:val="en-US" w:eastAsia="en-US" w:bidi="ar-SA"/>
        </w:rPr>
        <w:t>No. 2002 Taurus Ventures Ltd. v. Intrawest Corp.</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xml:space="preserve"> at paras. 47-59 [</w:t>
      </w:r>
      <w:r>
        <w:rPr>
          <w:rFonts w:ascii="arial" w:eastAsia="arial" w:hAnsi="arial" w:cs="arial"/>
          <w:i/>
          <w:color w:val="000000"/>
          <w:sz w:val="20"/>
          <w:lang w:val="en-US" w:eastAsia="en-US" w:bidi="ar-SA"/>
        </w:rPr>
        <w:t>Intrawest</w:t>
      </w:r>
      <w:r>
        <w:rPr>
          <w:rFonts w:ascii="arial" w:eastAsia="arial" w:hAnsi="arial" w:cs="arial"/>
          <w:color w:val="000000"/>
          <w:sz w:val="20"/>
          <w:lang w:val="en-US" w:eastAsia="en-US" w:bidi="ar-SA"/>
        </w:rPr>
        <w:t xml:space="preserve">]. At para. 48, the Court in </w:t>
      </w:r>
      <w:r>
        <w:rPr>
          <w:rFonts w:ascii="arial" w:eastAsia="arial" w:hAnsi="arial" w:cs="arial"/>
          <w:i/>
          <w:color w:val="000000"/>
          <w:sz w:val="20"/>
          <w:lang w:val="en-US" w:eastAsia="en-US" w:bidi="ar-SA"/>
        </w:rPr>
        <w:t>Intrawest</w:t>
      </w:r>
      <w:r>
        <w:rPr>
          <w:rFonts w:ascii="arial" w:eastAsia="arial" w:hAnsi="arial" w:cs="arial"/>
          <w:color w:val="000000"/>
          <w:sz w:val="20"/>
          <w:lang w:val="en-US" w:eastAsia="en-US" w:bidi="ar-SA"/>
        </w:rPr>
        <w:t xml:space="preserve"> cites </w:t>
      </w:r>
      <w:r>
        <w:rPr>
          <w:rFonts w:ascii="arial" w:eastAsia="arial" w:hAnsi="arial" w:cs="arial"/>
          <w:i/>
          <w:color w:val="000000"/>
          <w:sz w:val="20"/>
          <w:lang w:val="en-US" w:eastAsia="en-US" w:bidi="ar-SA"/>
        </w:rPr>
        <w:t>Antorisa Investments Ltd. v. 172965 Canada Ltd.</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[2006] O.J. No. 3427</w:t>
        </w:r>
      </w:hyperlink>
      <w:r>
        <w:rPr>
          <w:rFonts w:ascii="arial" w:eastAsia="arial" w:hAnsi="arial" w:cs="arial"/>
          <w:color w:val="000000"/>
          <w:sz w:val="20"/>
          <w:lang w:val="en-US" w:eastAsia="en-US" w:bidi="ar-SA"/>
        </w:rPr>
        <w:t xml:space="preserve"> (Ont. S.C.J.) at para. 41,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now settled that the fact that parties have dealt with matters in a contract does not mean that they intended to exclude the right to sue in tort ("it all depends on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they have dealt with it" [</w:t>
      </w:r>
      <w:r>
        <w:rPr>
          <w:rFonts w:ascii="arial" w:eastAsia="arial" w:hAnsi="arial" w:cs="arial"/>
          <w:i/>
          <w:color w:val="000000"/>
          <w:sz w:val="20"/>
          <w:lang w:val="en-US" w:eastAsia="en-US" w:bidi="ar-SA"/>
        </w:rPr>
        <w:t>BG Checo</w:t>
      </w:r>
      <w:r>
        <w:rPr>
          <w:rFonts w:ascii="arial" w:eastAsia="arial" w:hAnsi="arial" w:cs="arial"/>
          <w:color w:val="000000"/>
          <w:sz w:val="20"/>
          <w:lang w:val="en-US" w:eastAsia="en-US" w:bidi="ar-SA"/>
        </w:rPr>
        <w:t xml:space="preserve"> at 27]). Commercial parties may order their affairs and allocate risks as they like. However, if they arrange their rights and duties in a different way than would be done by the law of tort, the tort duty must give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Here, numerous drafts of the Contract were exchanged between the parties as they negotiated the terms. Mr. Rutherford, on behalf of Okinshaw, was a sophisticated businessman who had previously sold a large, public company and who, on his own evidence, had signed many contracts. In the circumstances, I am satisfied that the parties intended that the whole of their agreement would be captured by the written Contract, as amended in writing by the Addendum and the Amendment, and that the effect of the entire agreement clause is to preclude any claims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Further, as noted, I am not satisfied that any of the alleged representations satisfy the test for negligent misrepresentation, as established in cases like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Given my conclusion above about the effect of the entire agreement clause, I will deal only briefly with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principal misrepresentation alleged by Okinshaw concerns the title to the Property. Mr. Rutherford says that he made it clear to the Marrellos and to Mr. Edwardson that Okinshaw needed three to six months once title was cleared in order to obtain additional financing and that Mr. Edwardson assured him that would occur. The second element of the alleged misrepresentation, which is more in the nature of a misrepresentation by reason of a failure to disclose, is that the Marrellos could have used an order dated August 12, 2012 of Mr. Justice G.C. Weatherill to obtain clear title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on the evidence that Mr. Rutherford and Okinshaw were aware at all material times that the Property was heavily encumbered and that it would take some time to obtain clear title. While it may well be that Okinshaw would have liked clear title sooner, I am not satisfied that Mr. Edwardson or the Marrellos represented that it was likely or even possible. Moreover, had that been critical to Okinshaw's ability to proceed with the transaction, it could have negotiated a term to that effect in the Contract. It failed to do so and, in my view, the allegation that Okinshaw needed, and would have, three to six months to obtain financing once title was cleared cannot stand in the face of the clear language in s. 3.2(b) of the Contract (see para. 52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August 2012 order relied on by Okinshaw was granted as part of a default judgment obtained by the Marrellos against a former business partner who had been granted title to the Property as part of one of the previous failed attempts to develop the water bottling business. One term of the order directed that the Property "...be transferred forthwith to Deborah Ann Marrello". Okinshaw relies on that term to argue that title could have been transferred to Ms. Marrello, and cleared, well before May 31, 2014 which would have given Okinshaw ample time to obtain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However, I agree with the Marrellos that the order was not sufficient to enable immediate transfer of title to Ms. Marrello. The order did not comply with s. 34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and did not account for the fact that there were certificates of pending litigation registered against the Property that were not removed until May 31, 2014. It is apparent that the order was granted on a default basis without full knowledge of all of the encumbrances registered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any event, the evidence does not establish that Okinshaw relied on the alleged misrepresentations of the Marrellos concerning title to the Property. Okinshaw conducted its own review of the title to the Property and negotiated the terms of the Contract, which again did not make payment of the purchase price conditional on Okinshaw obtaining third party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Taking account of all of the evidence, Okinshaw's allegations of misrepresentation concerning title to the Property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similarly no basis for the allegation that the Marrellos misrepresented that Granite Falls had an existing distribution network in place. I accept Mr. Marrello's evidence that he simply put Okinshaw in contact with Granite Falls, who he had been introduced to through a friend. At the time that Okinshaw met with Granite Falls, no bottled water had been produced at the Property for a considerable length of time, thus there was nothing for Granite Falls to distribute.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there was considerable evidence led at trial about communications flowing between Granite Falls and Okinshaw and it is apparent that Okinshaw had full opportunity to investigate Granite Falls and its ability to distribute any products that Okinshaw would produce, including at a face to face meeting that took place in Victoria on April 19, 2013. Frankly, many of the communications coming from Granite Falls were, on their face, full of hyperbole and should have given Okinshaw pause about Granite Falls' actual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Okinshaw pressed ahead and entered into a "Broker and Sales Agreement" dated June 11, 2013 with Granite Falls. In doing so, I am satisfied that it was acting on its own initiative and knowledge and not on anything done or said by the Marrellos.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Okinshaw also alleges that it was misled about having sole access to the aquifer when, in fact, two neighboring properties were connected. On this point, I accept the evidence of Mr. MacKinnon that he told Mr. Rutherford about the neighbors when they toured the Property in July 2012. Further, the Addendum, which was dated May 31, 2013, implicitly acknowledged that there were other users of the aquifer. It stated at clause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water bottling plant requires a sole source from the water well; therefore any and all other users of the well not related to the property shall be disconnected.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clear that Okinshaw and Mr. Rutherford knew of the other users. Moreover, the evidence established that the neighbors' connections to the aquifer were temporary in nature and there is nothing to suggest that those connections interfered in any way with Okinshaw's ability to operate the water bottling facility or to obtain financing for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Okinshaw alleges that the Marrellos misrepresented the values set out in the Contract for the equipment and other assets. However, on his own evidence, Mr. Rutherford acknowledged that the values were set through discussions between him and Mr. Edwardson. In fact, the values are clearly nominal values set solely for the purpose of allocating the total purchase price. I agree with the Marrellos' submission at para. 266 of their written argument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Okinshaw alleges to be representations as to the value of the Property and other assets are actually statements of opinion or estimates and are not statements of existing fact and are not actionable as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all of these reasons, Okinshaw's claims for negligent misrepresentation are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Alleged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Okinshaw alleges that the Marrellos breached the Contract in two respects: i) they failed to provide Okinshaw with a bill of sale and other closing documents and ii) they failed to use the $425,000 paid by Okinshaw on May 31, 2013 to remove the encumbrances on title to the Property. Neither claim has any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the bill of sale issue, Okinshaw relies on clause 9.1 of the Contract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shall deliver to the Purchaser, in registered form where applicable, the following closing documents (the "closing documents"), prepared or obtained at the Sellers expense, on or before closing: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Duplicate, properly executed Bills of Sale of the property, equipment, stock in trade and parts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Okinshaw says that the failure of the Marrellos to provide proper closing documents, including a bill of sale, impeded its ability to obtain investors and third party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am satisfied in the evidence that the Marrellos did not provide a bill of sale as contemplated in the Contract, however to the extent that this constitutes a breach of the Contract, it is not a breach of a "sufficiently important term" (per Cromwell J. in </w:t>
      </w:r>
      <w:r>
        <w:rPr>
          <w:rFonts w:ascii="arial" w:eastAsia="arial" w:hAnsi="arial" w:cs="arial"/>
          <w:i/>
          <w:color w:val="000000"/>
          <w:sz w:val="20"/>
          <w:lang w:val="en-US" w:eastAsia="en-US" w:bidi="ar-SA"/>
        </w:rPr>
        <w:t>Potter</w:t>
      </w:r>
      <w:r>
        <w:rPr>
          <w:rFonts w:ascii="arial" w:eastAsia="arial" w:hAnsi="arial" w:cs="arial"/>
          <w:color w:val="000000"/>
          <w:sz w:val="20"/>
          <w:lang w:val="en-US" w:eastAsia="en-US" w:bidi="ar-SA"/>
        </w:rPr>
        <w:t xml:space="preserve"> at para. 148) so as to permit Okinshaw to treat the Contract at an end. At best, it would have permitted Okinshaw to sue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I agree with the Marrellos that Okinshaw has failed to prove that it suffered damages as a result of the absence of a bill of sale. Specifically, Okinshaw did not establish that its inability to obtain investors or third party financing resulted from the Marrellos' failure to provide a bill of sale. While Mr. Rutherford testified that this was a significant issue for investors, there was no corroborating evidence. Moreover, if proof of the sale was so critical to obtaining financing, it is difficult to see how a bill of sale would be more compelling that the actual Contract of sale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any event, Okinshaw waived its right to a bill of sale by closing the deal on May 31, 2013. This is in fact what Mr. Justice Thompson found in his Reasons for Judgment on the Marrellos' application to remove the certificate of pending litigation filed by Okinshaw (</w:t>
      </w:r>
      <w:r>
        <w:rPr>
          <w:rFonts w:ascii="arial" w:eastAsia="arial" w:hAnsi="arial" w:cs="arial"/>
          <w:i/>
          <w:color w:val="000000"/>
          <w:sz w:val="20"/>
          <w:lang w:val="en-US" w:eastAsia="en-US" w:bidi="ar-SA"/>
        </w:rPr>
        <w:t>Marrello v. Okinshaw Water Company Ltd.</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2016 BCSC 453</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disclose why Okinshaw chose to close the transaction without compliance by the Marrellos with the closing documents condition stated by the contract to be in Okinshaw's favour. A purchaser may choose to waive subject conditions that are in its favour. I agree with the Marrellos' submission that Okinshaw must be taken to have waived this condition by electing to close without insisting on compliance with the closing documents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agree with Justice Thompson's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second breach alleged by Okinshaw is that the Marrellos breached s. 3.2(a) of the Contract by failing to apply the $425,000 paid by Okinshaw to removing the encumbrances on the title to the Property. Clause 3.2(a)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purchase price for the undertaking and assets agreed to be bought and sold shall be paid, subject to adjustments, as follows: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Hundred and Twenty Five Thousand Dollars ($425,000) by certified cheque, bank draft or bank transfer on or about May 31, 2013. This money is to be used to pay court costs regarding CPL's, taxes and encumbrances on the property. Equipment, stock and supplies will be released by the Sellers to the Purchaser and used as collateral.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Marrellos' evidence was that, with the exception of $35,000, which was used for personal expenses with the express approval of Okinshaw, the $425,000 was in fact applied to remove encumbrances. In fact, the $425,000 was not sufficient because the Marrellos were required to post $300,000 security in order to remove one of the CPL's. According to Ms. Marrello, their intention was to use some of the funds due from Okinshaw on May 31, 2014 to pay that security. Thus, there is no basis for Okinshaw's allegation that the Marrellos breached clause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should also be noted that, in any event, Okinshaw received value for the $425,000 in the form of title to the equipment in the bottling facility. As noted above in paragraph 28, on May 31, 2013, the Marrellos executed a document granting Okinshaw title to the equipment upon payment of the $425,000.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Okinshaw's claim for breach of contract therefore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Based on the above, the Marrellos have established that Okinshaw breached the Contract by failing to pay $1.5 million on May 31, 2014 pursuant to clause 3.2(b). Conversely, Okinshaw has not established that the Marrellos made negligent misrepresentations or that they breached the Contract. Okinshaw's counterclaim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worth noting one additional point with respect to Okinshaw's claims against the Marrellos. A consistent theme running throughout Okinshaw's evidence was the allegation that the Marrellos failed to act in good faith and that their objective all along was to use Okinshaw's money to clear title and have the Property returned to Ms. Marrello, without any intention of ever actually completing the transaction and conveying the Property to Okinshaw. Okinshaw went so far as to allege that the subsequent transaction in which the Property was sold to a new purchaser was in fact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These claims were not pleaded and indeed, shortly before trial, Okinshaw's application to adjourn the trial in order to permit it to amend its pleadings to include the claims was dismissed. For this reason, much of the evidence that Okinshaw sought to adduce on these issues was ruled inadmissible. While Okinshaw and Mr. Rutherford no doubt feel hard done by and believe that they were in effect "robbed" of the Property, the reality is, as established by the evidence, that Okinshaw failed to pay the purchase price when required by the Contract and thus forfeited any claim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above, the Marrellos claim damages in the amount of $232,000, which is comprised of $680,000 for the equipment removed by Okinshaw plus $67,200 in foregone rent for the duplexes during the period in which Okinshaw remained in possession of the Property, less the $515,000 already received from Okinshaw ($425,000 paid on May 31, 2013 and nine payments of $10,000 per month paid pursuant to the Amendment from December 2013 to August 2104).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are a number of difficulties in the Marrellos' quantification of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respect to the equipment claim, it ignores the fact that they expressly agreed to transfer title in the equipment to Okinshaw in exchange for the payment of $425,000 on May 31, 2013 (see para. 91 above). It is not open to the Marrellos to now claim damages for the loss of that equipment, having already transferred title to Okinshaw.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Further, there is no admissible evidence before the court about the value of the equipment. The Marrellos simply rely on the $680,000 value assigned to the equipment in the Contract, however as they themselves submitted in response to Okinshaw's misrepresentation claim, the values in the contract are "are actually statements of opinion or estimates and are not statements of existing fact". Moreover, the nominal values set out in the Contract belie the evidence of the Marrellos' own witnesses, for example Mr. MacKinnon, who testified that the equipment in the bottling facility was in poor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Marrellos have not established that they suffered any loss as a result of Okinshaw removing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claim for foregone rent, the Marrellos testified that they could expect to rent the duplexes on the Property for $1,400 per month each, or $2,800 in total. However, they provided no evidence about the rental market in the area or the availability of possible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Further, the Marrellos' calculation of their damages does not include the $75,000 deposit paid by Okinshaw. While that deposit was forfeited to the Marrellos when Okinshaw failed to complete, pursuant to clause 3.1 of the Contract, it must still be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the deposit is factored in, it is apparent that Okinshaw paid a total of $590,000 to the Marrellos. Considering that they subsequently re-sold the Property for $4 million, the same price as set out in the Contract, it is clear that they more than mitigated any damages they might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Marrellos have established that Okinshaw breached the Contract by failing to pay $1.5 million on May 31, 2014 however they have failed to prove any damages. Their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Okinshaw has failed to establish that the Marrellos made negligent misrepresentations or breached the Contract and its counterclaim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Marrellos are entitled to an order releasing the $600,000 in security currently held in trust by their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success has been divided, the parties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Ma v. Nutriview Systems Inc., [2014] B.C.J. No. 753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8-9, June 17-18,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September 9, October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S111643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239 A.C.W.S. (3d) 914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B.L.R. (5th) 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1125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Harry Ma, Plaintiff, and Nutriview Systems Inc., Brian Thurston and Vancity Credit Union,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7"/>
      <w:bookmarkEnd w:id="185"/>
      <w:r>
        <w:rPr>
          <w:rFonts w:ascii="arial" w:eastAsia="arial" w:hAnsi="arial" w:cs="arial"/>
          <w:b/>
          <w:color w:val="000000"/>
          <w:sz w:val="20"/>
          <w:lang w:val="en-US" w:eastAsia="en-US" w:bidi="ar-SA"/>
        </w:rPr>
        <w:t>Contracts — Misrepresentation — What constitutes — Fraudulent misrepresentation — Action by Ma for rescission and damages for fraudulent misrepresentation allowed — The defendant Thurston was the principal of the defendant Nutriview — Ma and Nutriview entered into a franchise agreement pursuant to which Ma acquired the right to operate Nutriview's vending machine business in several schools — Ma ultimately walked away from the business — Three of the statements made by Thurston amounted to fraudulent misrepresentations — Ma did not affirm the contract with respect to one of the misrepresentations — Ma was entitled to rescission and was awarded damages in the amount he paid for the franchise, $435,093.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Equitable remedies — Rescission — Action by Ma for rescission and damages for fraudulent misrepresentation allowed — The defendant Thurston was the principal of the defendant Nutriview — Ma and Nutriview entered into a franchise agreement pursuant to which Ma acquired the right to operate Nutriview's vending machine business in several schools — Ma ultimately walked away from the business — Three of the statements made by Thurston amounted to fraudulent misrepresentations — Ma did not affirm the contract with respect to one of the misrepresentations — Ma was entitled to rescission and was awarded damages in the amount he paid for the franchise, $435,093.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Fraud and misrepresentation — Action by Ma for rescission and damages for fraudulent misrepresentation allowed — The defendant Thurston was the principal of the defendant Nutriview — Ma and Nutriview entered into a franchise agreement pursuant to which Ma acquired the right to operate Nutriview's vending machine business in several schools — Ma ultimately walked away from the business — Three of the statements made by Thurston amounted to fraudulent misrepresentations — Ma did not affirm the contract with respect to one of the misrepresentations — Ma was entitled to rescission and was awarded damages in the amount he paid for the franchise, $435,093.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Particular relationships — Sale of business — Inducement — Remedies — Rescission — Action by Ma for rescission and damages for fraudulent misrepresentation allowed — The defendant Thurston was the principal of the defendant Nutriview — Ma and Nutriview entered into a franchise agreement pursuant to which Ma acquired the right to operate Nutriview's vending machine business in several schools — Ma ultimately walked away from the business — Three of the statements made by Thurston amounted to fraudulent misrepresentations — Ma did not affirm the contract with respect to one of the misrepresentations — Ma was entitled to rescission and was awarded damages in the amount he paid for the franchise, $435,093.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7"/>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 for rescission and damages for fraudulent misrepresentation. The defendant Thurston was the sole shareholder and president of the defendant Nutriview Systems. In June 2010, Ma and Nutriview entered into a contract in the nature of a franchise agreement. Ma paid a fee of $414,375 and acquired the right to operate Nutriview's vending machine business in several schools in the Coquitlam school district. Thurston discouraged Ma from seeking legal advice and Ma signed the contract without any such advice. In February 2011, Ma became dissatisfied with the contract. He walked away from the business in March 2011. Ma took the position that Nutriview and Thurston made misrepresentations to him regarding the business. Nutriview and Thurston denied that there were any misrepresentations made to Ma about the business.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23"/>
            <w:bookmarkEnd w:id="1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Three of the statements made by Thurston amounted to fraudulent misrepresentations. Thurston made the representations knowing they were not true in order to induce Ma to enter the contract. Ma relied on the misrepresentations. While Ma affirmed the contract with respect to two of the misrepresentations, he did not do so with respect to the third. As a result, Ma was entitled to rescission and to be restored to his former position. Accordingly, he was awarded damages in the amount he paid to purchase the franchise, $435,093.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21"/>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752" w:history="1">
        <w:r>
          <w:rPr>
            <w:rFonts w:ascii="arial" w:eastAsia="arial" w:hAnsi="arial" w:cs="arial"/>
            <w:i/>
            <w:color w:val="0077CC"/>
            <w:sz w:val="20"/>
            <w:u w:val="single"/>
            <w:shd w:val="clear" w:color="auto" w:fill="FFFFFF"/>
            <w:lang w:val="en-US" w:eastAsia="en-US" w:bidi="ar-SA"/>
          </w:rPr>
          <w:t>RSBC 1996, CHAPTER 410, s. 16</w:t>
        </w:r>
      </w:hyperlink>
      <w:r>
        <w:rPr>
          <w:rFonts w:ascii="arial" w:eastAsia="arial" w:hAnsi="arial" w:cs="arial"/>
          <w:color w:val="000000"/>
          <w:sz w:val="20"/>
          <w:lang w:val="en-US" w:eastAsia="en-US" w:bidi="ar-SA"/>
        </w:rPr>
        <w:t>,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753" w:history="1">
        <w:r>
          <w:rPr>
            <w:rFonts w:ascii="arial" w:eastAsia="arial" w:hAnsi="arial" w:cs="arial"/>
            <w:i/>
            <w:color w:val="0077CC"/>
            <w:sz w:val="20"/>
            <w:u w:val="single"/>
            <w:shd w:val="clear" w:color="auto" w:fill="FFFFFF"/>
            <w:lang w:val="en-US" w:eastAsia="en-US" w:bidi="ar-SA"/>
          </w:rPr>
          <w:t>RSBC 1996, CHAPTER 412, s. 23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School Regulation, B.C. Reg. 265/89,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7"/>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Ganapathi, M.Z. Galambos.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Nutriview Systems Inc. and Brian Thurston: R.W. Cooper, J.M.S. Woolley.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7"/>
      <w:bookmarkEnd w:id="190"/>
      <w:r>
        <w:pict>
          <v:line id="_x0000_s1167"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S.F. KELLEHER J."/>
            <w:bookmarkEnd w:id="191"/>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Harry Ma met Brian Thurston on June 2, 2010. Mr. Ma was gullible and naïve. He had the ability to access over $400,000 to invest in a franchise Mr. Thurston was selling. Gullibility, naiveté and the ability to raise a large amount of money are an unfortunate combination.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Brian Thurston is a skilled salesman. He managed to convince Harry Ma to pay a grossly inflated amount of money for a vending machine business with locations in several schools in the Coquitlam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Thourston did so by making a series of statements to Mr. Ma that were untrue. He then presented a contract which contained none of these promises or representations, but contained a clause purporting to deny contractual effect to all his promises.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 signed this contract without having obtained legal advice and without seeking to change a comma. He did so because he did not want to show a lack of trust in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concluded that three of the statements made by Mr. Thurston are fraudulent misrepresentations. One of those fraudulent misrepresentations gives Mr. Ma the right to rescind the contract. He is entitled to recover the amount he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action arises from a contract dated June 29, 2010, between the plaintiff and the defendant Nutriview Systems Inc. ("Nutriview"). The contract is in the nature of a franchise agreement. The plaintiff alleges fraud, misrepresentation, breach of contract and a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on the part of both Nutriview and its principal, the defendant Brian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Nutriview and Mr. Thurston counterclaim, alleging breach of contract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a technician employed by a cable television service provider. He entered into the contract with Nutriview. He paid a fee of $414,375 and acquired the right to operate Nutriview's vending machine business in several schools in the Coquitlam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seeks to set aside the franchise agreement and obtain an order that the franchise fee paid to Nutriview be refunded.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says that Nutriview and Mr. Thurston made certain misrepresentations to him regarding the business. These misrepresentations, he says, render the Franchise Agreement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and entitle him to be returned to his pre-contractual position by way of a refund of the franchise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also argues that certain contracts between Nutriview and Coquitlam schools are not enforceable because of certain provisions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He also argues that he is entitled to recovery based on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 claims that Nutriview and Mr. Thurston defrauded him by purporting to sell to him something that Nutriview did not own. That is, he says, Nutriview did not, at the time the Franchise Agreement was executed, own any vending machine business or hold any rights over which it could grant franchise rights to Mr. Ma. That business, the plaintiff says, was only acquired the day after the Franchise Agreement was executed, when Nutriview entered into an agreement to purchase the vending machine business from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Nutriview and Mr. Thurston say that the Franchise Agreement is a valid and binding contract. Nutriview held all the rights it conveyed in the Franchise Agreement and it could, and did, validly grant the plaintiff the right to operate the business according to the terms of the Franchise Agreement. Moreover, Nutriview and Mr. Thurston deny that there were any misrepresentations made to Mr. Ma about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counterclaim alleges that the plaintiff breached the Franchise Agreement by abandoning the business in March 2011. Nutriview and Mr. Thurston say they are entitled to damages on account of that breach. The damages portion of the counterclaim has been severed from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had made a claim against Vancity Credit Union but has discontinued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Nutriview's Acquisition of the Vending Machine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Thurston is the sole shareholder and president of Nutriview. Nutriview was first incorporated in 1999 under the name Healthy Balance Nutrition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Thurston's background is in sales as well as some acting and stunt work years ago. He has some experience in the vending machine business, but for several years has been focussing on his business concept of marketing healthy snacks and beverages in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Thurston also has some training in motivational speaking. As will be seen, he is a skilful sales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Let me explain how Mr. Thurston obtained the business he sold to Mr.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Chris Farnsworth is a businessman who has been operating a vending machine business in the Vancouver area since 1989. At the beginning of 2010, Mr. Farnsworth owned and operated snack vending machines in 13 schools in the Coquitlam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Thurston and Mr. Farnsworth began having discussions about Mr. Thurston purchasing his business in late 2009. These discussions extended into early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March 5, 2010, Mr. Thurston and Mr. Farnsworth executed a document entitled "Joint Venture -- Business Expansion" which contained the headings "Confidentiality Agreement", "Non-Circumvention Agreement" and "First Right of Refusal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document was drafted by Mr. Thurston. It is highly legalistic. For example, the text of the "Non-Circumvention Agreement"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this legally binding agreement, "Parties" hereby irrevocably agree and guarantee each other they shall not, directly or indirectly interfere with, circumvent or attempt to circumvent, avoid, by-pass, or obviate each other's interest and contracts, or the interest or relationship with producers, sellers, buyers, brokers, dealers, distributors, refiners, shippers, financial institutions, technology owners, or manufacturers, to change, increase, or avoid directly or indirectly the spirit or law of the projects undertaken.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"Project". This project is related to the joint venture, business partnership, business expansion, development and implementation of distribution systems, business models, merchandising equipment technology, loyalty/card payment technology systems, remote monitoring of merchandising equipment, point of sale marketing screens, development completed, development in progress, financial projections leading to the business expansion in Canada, the United States and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Thurston did not explain at trial what all this prolixity was about. The operative part of the document is a right of first refusal that Mr. Farnsworth's company, Sherwood Vending Services, provided to Nutriview. There does not appear to be any consideration for Mr. Farnsworth's agreement to this, but the document is signed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1, 2010, Mr. Farnsworth executed a further document, which Mr. Thurston also prepared, entitled "Letter of Intent". It set out the terms for the sale of Mr. Farnsworth's business to Mr. Thurston's company. The agreement was one-sided: Mr. Farnsworth provided Mr. Thurston's company a "sole purchase option" for a period of 24 months. Mr. Farnsworth obtained nothing in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Thurston explained his concept of a vending machine business involving healthy snacks and beverages to Mr. Farnsworth. He told him that suppliers would provide snacks and beverages below the wholesale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told Mr. Farnsworth there were national companies "wanting to partner". He said he believed he could get up to 20 companies willing to pay $250 per month per school. That would mean $5,000 per school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concept included placing beverage machines in the schools. Mr. Farnsworth only had snack machines. Mr. Thurston's idea was to replace Coca-Cola and Pepsi beverage machines with machines selling healthy beverages in their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Letter of Intent was executed, Mr. Farnsworth set up a number of meetings with the principals of middle schools and high schools in Coquitlam. Those meetings took place in April and May 2010. Mr. Farnsworth introduced Mr. Thurston to the school principals and informed them that he was selling his business to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meetings were quite a success. They resulted in a number of written "Equipment Placement Agreements" with the schools executed in April, May and June 2010. Mr. Farnsworth had not had written agreements with the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agreements resulted from the efforts of both Mr. Farnsworth and Mr. Thurston. Mr. Farnsworth knew the schools' administrators. He enjoyed a good relationship with them. He was able to introduce Mr. Thurston as his colleague.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Thurston was able to tell each school about his vision of healthy snacks and beverages for students. He appears to have made a number of representations to the schools. He assured them that they would receive 15% commission on all sales. He told them about the nutritious nature of the intended products. He told them of "remote monitoring". That is, he said, the school would at any time be able to access information online, including the level of product in a vending machine and the commissions owing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example, a written presentation was given to Dr. Charles Best Secondary School. It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mission of NutriView Inc. is to:</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healthy and nutritious snacks and beverages for students; and $* $* &lt;/QL:LISTLEVEL2&gt; $*$*</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profits for school administrators that equal or surpass financial levels established by the major soft drink bottlers and traditional vending companies.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presentation said this about corporate sponsorships: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NutriView Inc. has been successful in attracting corporate sponsorship of nutritional programs to educational institutions. The financial contribution is quite substantial, to the degree that it could equate to, or surpass the dollar amount experienced before the introduction of the Ministry's Nutritional Guidelines.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Eg: Twenty corporate sponsors x $250 per month equates to $50,000 per school /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level of corporate contribution is solely dependent on the volume of schools enrolled in the program. The corporate sponsorship requirement is 80% of School District #43's student enrollment. This requirement is dictated by sponsor corporations in an effort to maximize the reach of their financial contribution. The collective corporate sponsors' perspective is that they will commit financially to those school districts that commit en-mass [sic] to the nutritional program in both snack food and cold beverage segments. Until this requirement is attained, NutriView Inc. will guarantee that the schools enrolled in the nutritional program will maintain the level of financial compensation from the sale of the healthy snack and beverage products. Our intention is to have the corporate financial sponsorship funds replace commissions paid to schools from the sale of healthy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fact, there is no evidence of any corporate sponsorships.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presentation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NutriView Inc. brings a number of technological advances to vending that improve financial considerations for school administrators.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Remote Monitoring Systems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Remote monitoring systems provide new levels of accounting transparency. School administrators can go online to find real time accounting for individual school vending units. Sales are individually recorded by item and price. (The Monitoring System also guarantees immediate replenishment reliability).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Flat-Screen Educational Monitors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Flat-screen educational monitors use text and graphics to promote positive nutrition and active lifestyle choices. Students are encouraged to participate in their own healthy product marketing on nutritional monitors.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remain no remote monitoring and no flat-screen educational monitors, either during the 2010-2011 school year or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Equipment Placement Agreements with the various schools are largely the same. They are dated between April 30, 2010 and June 11, 2010. They covered 11 schools: Centennial Secondary School, Pitt River Community Middle School, Moody Middle School, École Maple Creek Middle School, Hillcrest Middle School, École Banting Middle School, Montgomery Middle School, Scott Creek Middle School, Minnekhada Middle School, École Kwayhquitlum Middle School and Summit Middle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Typical of the written agreements is that between Summit Middle School and Nutriview. The "Terms and Conditions"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Supplier or one of its assignees will place in the Location's premises new merchandising equipment or equipment in good working order and will be responsible for the stocking and maintenance of the described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equipment shall remain in the initial placement area unless the Supplier or one of its assignees, and the Location choose a new spot.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Location agrees that the equipment is the sole property of the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term of this Agreement, Nutriview Systems or its assignees shall be the exclusive supplier of merchandising equipment to the Location. The Location is prohibited from competing either directly or indirectly with Nutriview Systems or its assignees by selling products similar to those sold in Nutriview Systems'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Location is in no way responsible for the damage to equipment or product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Supplier or its assignee will carry insurance on equipment placed.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school is guaranteed that the financial contribution to the school in the first year of operation from the sale of healthy snack and beverage products will be equal to or greater than the amounts achieved in the previous year of operation. 15%/sales snack and beverage products sold. Subsequent to this, corporate sponsorship will replace funds achieved through the sale of healthy products, or whichever amount is greater. Any shortfall attributable to the decline in school student enrollment will be prorated.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monthly statement will be available on line for verification of commissions.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to be for the duration of sixty months from placement of merchandising equipment. The agreement to be reviewed annually to assure it is beneficial for all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 to give ninety days notice in writing to Nutriview Systems regarding intention to end Agreement. Failing said notice, Agreement will be considered renewed in its entirety.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shall be the essence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details pertaining to this Agreement will remain confidential between all individuals and or parties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agreement covered both a beverage and a snack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benefit to the schools is 15% commission on the products sold. The funds generated can be used for school purposes, such as band equipment and athletics.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agreement refers to "corporate sponsorship". Mr. Thurston felt corporations would pay a fee to be sponsors. These fees he said would likely exceed and replace the 15%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Messrs. Thurston and Farnsworth agreed that Mr. Farnsworth would operate the business until the end of the 2009-2010 school year. They also agreed that they would meet on June 30, 2010, to conclude a formal agreement for the sale of the business and settle on a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Messrs. Thurston and Farnsworth met on June 30, 2010, and signed a document entitled "Business Purchase Agreement". The agreement was for "goodwill and equipment assets in various locations". It included an agreement by Mr. Farnsworth to engage in "training of staff, employees, agents, assignees of Purchaser". The purchase price was $68,891.09, comprised of $20,793.33 for equipment and $48,097.76 for "goodwill".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June 30, 2010, when this transaction occurred, Mr. Thurston had already entered into the Franchise Agreement with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Sale of the Franchise to Mr.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Thurston and Mr. Ma first met on June 2, 2010. Mr. Ma attended at Mr. Thurston's home in North Vancouver to install cable television service on behalf of Shaw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this time, Mr. Thurston had been planning to acquire the business from Mr. Farnsworth and needed to find someone to operate it. To that end, he had placed an ad on a website called Kijiji.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 was 22 years old at the time. He had sold Amway products in the past and had an interest in "self-improvement" and business. He was very impressed by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Thurston told him that he did some motivational speaking and gave him a compact disc featuring T. Harv Eker, a well-known motivational speaker. He told Mr. Ma that he was also in the health products business and gave him some ginseng supplements.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Thurston also told Mr. Ma that he had a profitable vending machine franchise for sale. He told them that it covered seven schools for a guaranteed five years in Coquitlam and that the price was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 was interested in this business opportunity. He told his girlfriend about it and then contacted Mr. Thurston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Thurston and Mr. Ma met at a coffee shop in North Vancouver a few days later. Mr. Thurston showed Mr. Ma 15-20 pieces of paper with sales figures. These figures were the sales achieved by Mr. Farnsworth.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Ma testified that Mr. Thurston said that he had "deals" with a number of suppliers: Frito-Lay, Happy Planet, Kellogg's, Dan-D-Pak, mySmoothie, So Good So Nice and Nature's Path. Mr. Ma took from this that he would get products at wholesale cost or preferred prices from these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Thurston said, according to Mr. Ma, that he had a corporate sponsorship agreement with EA Sports and that he was about to finalize a similar deal with Lululemon.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Ma was also told about "remote monitoring". This was a computer program that would enable Mr. Ma to determine "real time sales", i.e. the level of product in each machine, without having to physically inspect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Thurston also told him that the machines would have "wrapping", that is, advertising by corporate sponsors, which would generate $150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Thurston told him that the machines would also have interactive screens with corporate logos and this would produce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central promise Mr. Ma relies on in these proceedings was Mr. Thurston's statement that he would buy the business back for the full purchase price within a year if the deal did not turn out the way Mr. Ma thought it would, "no questions asked". Mr. Ma testified that this promise was made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Thurston denies much of what Mr. Ma says he was promised. His evidence is that on June 2, 2010, Mr. Ma came to do a cable installation at his home. Mr. Thurston said that the vending machine business came up in the course of conversation with Mr.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the time, Mr. Thurston was seeking to sell the "exclusive right" to operate the vending machine business in Coquitlam. He had placed an ad on the Kijiji website and had received what he called some "quality responses". According to Mr. Thurston, Mr. Ma said he was interested. He contacted Mr. Thurston and they met. Mr. Thurston showed him some sales figures that he had received from Mr. Farnsworth.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Thurston agrees that he mentioned product suppliers to Mr. Ma, but denies telling him of any contractual relationship. He did not "recall" telling him of corporate sponsorships.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Thurston denied telling Mr. Ma of any "agreement" with EA Sports. He testified that he told Mr. Ma he had conversations with EA Sports in the United States, but he "absolutely" denied telling him EA Sports was "on board". He agreed that he told Mr. Ma he approached Lululemon. Mr. Thurston never did achieve a sponsorship agreement with EA Sports, Lululemon or, for that matter, any other corporate sponsor.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Thurston testified that he "never" made a statement assuring Mr. Ma he would buy the business back at full price if Mr. Ma was not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Thurston was asked in examination in chief whether he tried to dissuade Mr. Ma from getting legal advice. His answer was "absolutely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Thurston denies promising to buy the business back. His evidence is that he "never" made such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Mr. Thurston did make this promise and, as Mr. Ma testified, on more than one occasion. I accept Mr. Ma's statement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often-quoted words of Mr. Justice O'Halloran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are apposite here: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 particularly in cases of conflict of evidence, cannot be gauged solely by the test of whether the personal demeanor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skillful exaggeration with partial expression of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Thurston shrewdly painted a rosy picture for Mr. Mah of a high potential of success and profits: remote monitoring, corporate sponsorship, advertising from sponsors, preferential pricing. Yet he appeared to be sufficiently sophisticated to understand that if he made promises to Mr. Ma, omitted them from the contractual document, then included an "entire agreement" clause in the contract, his promises were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Thus, it is entirely consistent with Mr. Thurston's approach to these negotiations for Mr. Thurston to make a promise of a money back guarantee. He obviously knew that such a promise would give comfort to Mr.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the words of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Mr. Ma's evidence is entirely consistent with the probabilities surrounding the 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June 10, 2010, Ma paid a deposit of $38,250. At Mr. Thurston's request, it was made payable to Mr. Thurston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Thurston drafted the Franchise Agreement. It was scheduled to be signed on June 29, 2010. Mr. Ma picked it up four to seven days before that. Mr. Ma read it but did not obtain any legal advice. He said that Mr. Thurston told him not to "bother" taking it to a lawyer. Mr. Ma said Mr. Thurston told him that he would "pay a few thousand dollars" and the lawyer would tell him to "sign on the dotted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the plaintiff testified that he did discuss the Franchise Agreement with Mr. Chan. Mr. Chan advised him the promise to buy back the franchise should be contained in the agreement. Mr. Ma told him that he did not want to offend Mr. Thurston by asking Mr. Thurston to put his promise in writing. He told the court he did not want to show a lack of trust in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argue that the plaintiff's evidence in this regard is not consistent with what he stated when he was cross-examined on an affidavit. He stated in the affidavit that he had not obtained any legal advice. He said that no one had read the agreement but himself. It is clear to me that he and Mr. Chan discussed the contract. If Mr. Chan read the agreement, Mr. Ma is mistaken in his testimony. I am satisfied, however, that Mr. Ma did not take the contract to anyone with legal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Ma also claimed that he did not understand certain terms of the Franchise Agreement. He said his English was not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accept this claim. Mr. Ma was asked in cross-examination which words he did not understand. He mentioned formal adverbs such as "hereto" and "hereunder".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Franchise Agreement is not written clearly, but Mr. Ma's difficulties do not include the English language. His parents speak Cantonese but he speaks to them in English. All of his schooling was in English. His work at Shaw Cable is conducted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also find as fact that Mr. Thurston discouraged Mr. Ma from seeking the advice of a lawyer. The Franchise Agreement is completely one-sided. Mr. Thurston made several promises that are not contained in the document. I conclude that it is far more likely than not that Mr. Thurston told Mr. Ma not to waste money on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Thurston's advice in this regard was cynical and manipulative. Mr. Thurston was taking advantage of Mr. Ma's naiveté. A reasonable person in Mr. Ma's position would see the advice for what it was: the mere fact that Mr. Thurston advised him not to see a lawyer would be a cogent reason for Mr. Ma to seek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Ma was entering into the largest financial transaction of his young life. He had only met Mr. Thurston a couple of weeks earlier. Of course he should have sought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But Mr. Ma did not see it that way. He believed and trusted Mr. Thurston and let this trust overwhelm his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Thurston was argumentative in cross-examination. He seemed to consider cross-examination an opportunity to simply debate with Mr. Ganapathi.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example, he disagreed with what everyone else understood by the phrase "remote monitoring": a combination of computer hardware and software which would permit a person to determine the sales and inventory of the vending machine by accessing the information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Thurston argued that remote monitoring was a much more "elastic" concept. The promise of remote monitoring would be met if one were able to go to the vending machine and obtain the information by connecting a handheld device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is simply arguing for the sake of arguing. There is nothing "remote" about Mr. Thurston's definition of "remote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contract was signed on June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Franchise Agreement is between Nutriview and Mr. Ma. It is 16 pages long, excluding schedules. The obligations and covenants of Mr. Ma are many; the obligations and covenants of Nutriview are 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preamble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Nutriview Systems has developed a unique marketing plan and system of specifications, standards and operating procedures for the development and operation of merchandising equipment and a servicing and maintenance business for the supply, presentation and sale of food and beverage sold in merchandising equipment, primarily in schools. Which reflect the philosophy of Nutriview Systems to promote healthy food and beverage standards; $* $* &lt;/QL:LISTLEVEL2&gt; $*$*</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Nutriview Systems has procured the Agreements attached hereto as Schedule "A", and has developed goodwill with respect to its name and business; $* $* &lt;/QL:LISTLEVEL2&gt; $*$*</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Franchisee wishes to acquire the right to sell food and beverage products pursuant to the Location Agreements, utilizing the name and support of Nutriview Systems, and Nutriview Systems has agreed to grant rights to the Franchisee on the terms and conditions contained herein; ...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Article 1.8 defines "Schedules":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"Schedules": The Schedules to this Agreement, which are incorporated herein by reference and form a part hereof, are as follows: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 "A" - Service Agreements (written and/or verbal) will be specified;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Schedule "B" - Specifications and Standards, and without restricting the generality thereof but for greater certainty, and operations and procedures manual or manuals and any standards of performance manuals which Nutriview Systems may provide, and any amendments thereto; $* $* &lt;/QL:LISTLEVEL2&gt; $*$*</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 "C" - Equipment and Product Requirements; ...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central term of the contract is article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provisions of this Agreement and for the term hereinafter specified, Nutriview Systems hereby grants to the Franchisee an exclusive right to operate the Business at and from each Location found within the School District where agreements have been and will be committed to in written and/or verbal form. Termination or expiration of this Agreement shall constitute a termination or expiration of the rights and licence granted 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Articles 3.1 and 3.2 set out the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consideration of the Franchisee receiving the opportunity to operate the Business, the Franchisee shall pay to Nutriview Systems, forthwith upon the execution of this Agreement, an initial, non-refundable franchise fee in the amount of: $* $* &lt;/QL:LISTLEVEL2&gt;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6"/>
        <w:gridCol w:w="627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$414,375.00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5% GST</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$20,718.75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$435,093.75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Deposit Received</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[less than]$38,250.00[greater than]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Balance</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$396,843.75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Equipment Costs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initial franchise fee shall be deemed to be fully earned by Nutriview Systems when paid and in consideration of the grant by it to the Franchisee of the opportunity to establish and operate the Business as herein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royalty shall be payable to Nutriview Systems in the amount of fifteen (15%) percent of receipts from each location where the business is performed. $* $* &lt;/QL:LISTLEVEL2&gt;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termination clause is one-sided. It only provides for termination of the Franchise Agreement by Nutriview:</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Nutriview Systems shall have the right to terminate this Franchise Agreement and the rights granted hereunder (always provided, however, that the covenants set forth in Section 6 (Obligations of Franchisee), Section 9 (Confidentiality), Section 10 (Non-Competition) and Section 11 (Non-Solicitation) shall continue in full force and effect as if the Agreement had not been terminated, and such termination of this Agreement shall be without prejudice to the enforcement of any other legal right or remedy), immediately upon giving written notice of such termination upon the happening of any of the following events: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Franchisee defaults in the due and punctual payment of any amount payable under this Agreement when and as same shall become due and payable; $* $* &lt;/QL:LISTLEVEL2&gt;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Franchisee breaches any other of the terms or conditions of this Franchise Agreement, any other agreement or undertaking entered into between Nutriview Systems and the Franchisee, or any of the Agreements with locations or School District, and (if and only if such breach can be remedied) if such breach continues for a period of ten (10) days after written notice thereof has been given to the Franchisee; $* $* &lt;/QL:LISTLEVEL2&gt; $*$*</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Franchisee threatens to cease to carry on business for any reason, including death of one or more persons comprising the Franchisee, or takes or threatens to take any action to liquidate its assets, or stops making payments in the usual course of business; or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If any person comprising the Franchisee makes or purports to make a general assignment for the benefit of creditors, or if such person institutes any proceedings under any statute or otherwise relating to insolvency or bankruptcy or if any proceeding any under statute or otherwise is instituted against such person.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an "entire agreement"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Agreement constitutes the entire agreement between the parties and supersedes all previous agreements and understandings between the parties in any way relating to the subject matter hereof.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expressly understood and agreed that Nutriview Systems Inc. has made no representations, inducements, warranties, or promises whether direct, indirect, has collateral, oral or otherwise, concerning this Agreement, the matters contained herein, or concerning any other matter which are not embodies 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Finally, article 13.12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13.12 The Franchisee acknowledges that the Franchisee has had all adequate opportunity to be advised by advisors of the Franchisee's own choosing regarding all pertinent legal and business aspects of this Agreement and the relationship created hereby and that the Franchisee has been requested by Nutriview Systems and its representatives to seek independent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Ma and Mr. Thurston met on June 29, 2010, at Mr. Thurston's bank. They signed the Franchise Agreement. Mr. Ma gave Mr. Thurston a draft for $396,843.75.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a factual dispute concerning whether the plaintiff was given the documents comprising Schedule "B". Mr. Thurston's evidence is that at the time they signed the contract, he provided a number of documents constituting Schedule "B", including: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products with comments about whether they meet health guidelines;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called "Plan/Timelines to Market Healthy Products in Educational Institutions";</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manual for Automatic Products International Ltd. merchandising equipment;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"Programming Guide" for Crane Merchandising Systems;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instruction manual for Automatic Products International Ltd. Snackshop LCM3-LCM4;</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manual for Rowe 5900 snack/candy vending machine;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called "Healthy Balance Net Proceeds from Beverage Sales";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Ministry of Education and Ministry of Health publication called "Guidelines for Food and Beverage Sales in B.C. Schools";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from "Dash B.C." called "Healthy Fundraising for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Ma's evidence is very clear: he did not receive any of these documents, except for the eighth document listed, the Guidelines for Food and Beverage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Mr. Ma's denial. It is more consistent with all the circumstances than the confident assertion of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signing the contract, Mr. Ma took the necessary steps to commence operating the business. He purchased a business licence, registered with the Canada Revenue Agency for GST purposes and registered with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Ma received assistance from Mr. Farnsworth. Mr. Ma and his brother, Raymond, met Mr. Farnsworth at one of the schools in early July. Mr. Farnsworth showed him how to load and operate the vending machines. He gave him keys and coin counting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Farnsworth told him of the suppliers he had used: Vending Products of Canada and Olympic Distributors. Thanks to Mr. Thurston's efforts, Mr. Ma did receive 24 complimentary cases of So Good So Nice soy beverage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Ma said he soon learned there were no other deals with distributors or suppliers. He said that the products cost 40-45% of the retail price. He had understood from his discussions with Mr. Thurston that his profit margin would be much larger.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Lori Evans was a contractor engaged by Mr. Thurston or Nutriview to install remote monitoring. She worked on this in November and December 2010, but the program was not successful. Even today, there is no remote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Ma operated the business starting in the fall of 2010. He testified that he was paying more for product than he was given to understand. He was unable to pay Nutriview the 15% commission under the Franchise Agreement. He was also unable to pay the 15% commission to the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schools expressed concerns almost from the beginning. On September 8, 2010, the principal of Moody Middle School sent Mr. Farnsworth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Chris. The kids are fascinated with our new drink machine and are buying product just to see it work. I wonder, though, where the healthy choices are? We cannot sell pop whether or not it is diet, so the Orange Crush has to go (it has gone - sold out!) and cannot be replaced. Could we possibly balance the flavoured water with some flavoured soy milk products? I expected to see these from the brochures that Brian showed us. Also wondering where the snacks are for the snack machine. The sooner we can have that fully loaded, the sooner we all see a return.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Chris.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Terry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Farnsworth forwarded the email to Mr. Thurston with a message indicating that Moody Middle School was not an isolated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Brian. I wonder if you would like to reply to this email from Terry Watt? I have had several calls and comments along these lines in the last two days and my reply is that this is a temporary situation and they will start to see the changes in the next few weeks. Better let me know if there is any delay, I don't want to look foolish.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Farnsworth testified that the problems continued throughout the fall. Mr. Ma wondered where to source products. When Mr. Farnsworth called Mr. Thurston to learn where to purchase product, Mr. Thurston told him he did not have suppliers and that Mr. Ma should use Mr. Farnsworth's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Two examples of dissatisfaction are in emails received by Mr. Farnsworth in November 2010. On November 16, he received this message (although addressed to Mr. Thurston) from the principal at Moody Middle School: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Brian. I thought we were to be receiving monthly statements and payments for the vending sales. Have not heard anything and we are into the third month. Please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same day, the head secretary at Summit Middle School sent this message: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Chris - I've tried to call you a couple of times on your cell and at home, but no answer. Left a message at the home # I have. Now that the new machines are in place, I am wondering how to monitor them. I have reviewed the contract and it indicates that "a monthly statement will be available online for verification of commissions". I do not see anywhere in the contract or portfolio any indication of how to do that, and since we're up and running, other than Raymond coming and assisting us with filling the machines, and float, etc., I have not had any 'administrative' followup regarding how to obtain this monthly statement or view/verify commissions. Would you or [Brian], or whomever is representing you in this respect, please contact me at your earliest convenience? That would be great -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Farnsworth said he received enquiries from the schools asking about products, remote monitoring and video screens. When he contacted Mr. Thurston about these matters, he was told there were "glitches" with the video screens and that new products would be available within a couple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problems persisted. By February 2011, schools still lacked product and had no remote monitoring or video screens. Mr. Farnsworth said he was embarrassed.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February 2011, Mr. Ma became dissatisfied with the contract he had signed. He sought legal advice from Mr. Ganapathi in late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Ma testified that he spoke by telephone to Mr. Thurston on March 3, 2011. He told Mr. Thurston that the arrangement was not working out and that he wished to be repaid the franchise fee, as Mr. Thurston had promised. He said that Mr. Thurston said "I never said that." He told Mr. Ma that he could sell the business for perhaps $285,000.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After the telephone conversation, Mr. Ma wrote to Mr. Thurston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getting off the phone with you today, I have put a lot of thought about continuing to operate this business. I am now sure that this business is not well suited for me and I want to withdraw from this business. I remember several occasions you stated to me that you will provide me with "a one year buy back guarantee", if the business didn't turn out the way you told me it will turn out to be. The total drink sales are not $2000/month per school as discussed and the snacks are not averaging $1000/month per school as discussed. And also my margin are no where close to 40%. Those reason I have listed are more than enough for me to justify my decision on using your offer of the one year buy back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 few minutes later he wrote a further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why is there a dramatic change in the price I paid for the business and what you think its worth now? I bought the business for $414,000 plus GST and now you have stated that the business is only worth $285,000. Why is there such a big change since purchasing this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March 4, Mr. Ma called Mr. Farnsworth and told him that Mr. Thurston had sold the business to him before he acquired it from Mr. Farnsworth.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Farnsworth testified that he was angry, insulted and frustrated. He wrote to Mr. Thurston a few days later, on March 7, 2013. His email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I got your message but I have no desire to talk to you. You have lost all credibility in my mind I no longer visit the schools its too embarrassing.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present in many meetings with you and school Principals where deals and contracts were made between you and them. Specifically, where are the sponsors that you implied were waiting to come on board? Where are the new products? You said you had arrangements with manufacturers i.e.: Dan-D-Pac, Natures Path, Ruth's, Kellogg's, SoGood, SoNice, My Smoothy, Happy Planet ect. [sic] Where are the Remote Monitoring devices? Where are the Video Screens? I haven't seen one working model yet. Where is all this giving back which you were so vocal about? I think we all realise now that you were less than honest and the some Principals are freely calling you much worse.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don't address these concerns immediately I believe you will be in breach of your contract and could possibly be in a position where you are asked to remove your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very sorry for Harry for he has been left holding the bag so to speak and definitely taken to the cleaners. I know what he paid you and I know some of the terms of the sale and for the record he didn't divulge that information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Thurston did not reply to Mr. Ma's email, but did reply to Mr. Farnsworth. His email to Mr. Farnsworth of March 8, 2011,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we go again with you and your over the top responses. Again, you and the schools will find that we at Nutriview have putting together exactly what we presented to the schools. As you recall, we have the first year in the agreement to complete all product and services offerings. You and whom ever you are referring to in your email reply are premature in your assesment [sic] of my character and my company's ability to follow through with our commitments. You have raised and articulated the very same concerns last school year when we signed the agreements with the schools. Do you also remember how badly that you felt when you were proven wrong? Do you recall asking me to forgive you? Well be prepared to do so once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your contract with me to act as a supervisor to the franchisee to take care of any and all concerns regarding the business, you sir, have let me down. With respect to your contract with me to act as a liaison between the School District and Nutriview Systems Inc. You effectively now, have let me, the school district, and yourself down. Why is this the first time that you have communicated to me that there are serious problems with our agreements with the Schools? There are all kinds of operating issues with Harry that I am only now finding out. Why, because you have not been around to communicate anything to me or any other representative of my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 now that you have identified some significant problems with respect to the business, you have a descision [sic] to make. Either you will, as contracted, liaise between Nutriview Systems Inc. and the Coquitlam School district to resolve the issues or, to not communicate with Nutriview and further contribute to the problems. In which case, if the later [sic] is chosen then we have no choice but to name you in the lawsuit that will be filed shortly. This is not what I want had expected nor discussed with you. You gave me your assurance that you would handle the Franchisee when and if issues arrive. You failed in this. I can not stand idly by and have you, and as you have expressed in your email, others, maliciously slander my character and or my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now have breeched [sic] your agreement with me. You have been paid to do a job. The choice is yours, chose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Ma walked away from the business at the beginning of March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Mr. Ma Left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Mr. Ma left, Mr. Thurston obviously needed to service the machines or locate someone to do so. He needed someone to run the business. He called Ashik Kara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Kara had originally contacted Mr. Thurston in February or March of 2010. He was responding to an advertisement on Craigslist about a business opportunity. He learned that Mr. Thurston wanted "hundreds of thousands" of dollars for the business. Mr. Kara did not have the money to invest and did not think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Kara heard from Mr. Thurston in March 2011. He was told that the other operator had walked away from the contract and that Mr. Thurston needed the machines serviced.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They agreed to split revenue on a 50/50 basis for the rest of the school year. Mr. Kara's immediate task was to find product, fill the machines, get the machines back in working order and pay commissions to the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machines were empty. There were no keys. Mr. Kara located a locksmith and re-keyed the machines. He found there was no money in any of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Thurston told Mr. Kara the schools had to be paid for unpaid commissions for the period of January to March 2011. However, Mr. Kara learned that they had not been paid for the entire 2010-2011 year to date. Mr. Kara paid $6,700 to the schools as commission, from his own pocket.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Kara and Mr. Thurston made arrangements for the following school year. The agreement they reached was that Mr. Kara would pay $2,000 per month to Mr. Thurston and continue to operate the business, keeping any profit he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business has done well. The two schools that left, Dr. Charles Best Secondary School and Pinetree Secondary School, came back to Mr. Kara. There are now six high schools under five year agreements and a total of 17 schools. He was able to add Port Moody Secondary School and Glen Eagle Secondary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Kara testified that Lori Evans was installing remote monitoring. They were tested for one month in 2011, but were taken offline after a dispute between Ms. Evans and Mr. Thurston resulted in her leaving.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commenced this action on March 11, 2011. On the same day, he made an application without notice seeking an injunction restraining the defendants Nutriview and Mr. Thurston from transferring or using funds. The matter was heard that day and the following order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Defendants are restrained and enjoined from transferring, selling, disposing of, encumbering or otherwise dealing with any assets or other property in which the Plaintiff has or may have an interest, including specifically accounts of the Defendants at the Vancity Credit Union at Lynn Creek Community Branch, 1370 Main Street in North Vancouver, British Columbia, [to a maximum of $435,093.75,] in any manner whatsoever pending final determination of this action or the written agreement of the Plaintiff or without a further Order of this Court, pursuant to s. 39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and Rule 10-1 and 10-4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March 29, 2011, the defendants Nutriview and Mr. Thurston filed a Response to Civil Claim. They also filed a counterclaim, alleging that the plaintiff breached various provisions of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June 6, 2011, the plaintiffs applied to set aside or, in the alternative, vary the injunction. After cross-examination on affidavits, the application to set aside the injunction came before Mr. Justice Savage on July 12,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Savage J., on the basis of the material before him, concluded that the test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had not been met: </w:t>
      </w:r>
      <w:r>
        <w:rPr>
          <w:rFonts w:ascii="arial" w:eastAsia="arial" w:hAnsi="arial" w:cs="arial"/>
          <w:i/>
          <w:color w:val="000000"/>
          <w:sz w:val="20"/>
          <w:lang w:val="en-US" w:eastAsia="en-US" w:bidi="ar-SA"/>
        </w:rPr>
        <w:t>Ma v. Nutriview Systems Inc.</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2011 BCSC 1033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court stated that the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has a two-part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is a harsh and exceptional remedy that should only be available in the clearest of cases; see </w:t>
      </w:r>
      <w:r>
        <w:rPr>
          <w:rFonts w:ascii="arial" w:eastAsia="arial" w:hAnsi="arial" w:cs="arial"/>
          <w:i/>
          <w:color w:val="000000"/>
          <w:sz w:val="20"/>
          <w:lang w:val="en-US" w:eastAsia="en-US" w:bidi="ar-SA"/>
        </w:rPr>
        <w:t>Netolitzky</w:t>
      </w:r>
      <w:r>
        <w:rPr>
          <w:rFonts w:ascii="arial" w:eastAsia="arial" w:hAnsi="arial" w:cs="arial"/>
          <w:color w:val="000000"/>
          <w:sz w:val="20"/>
          <w:lang w:val="en-US" w:eastAsia="en-US" w:bidi="ar-SA"/>
        </w:rPr>
        <w:t xml:space="preserve"> at paragraph 22. In order to obtain an injunction, the applicant must: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the merits; and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the interests of the parties, upon being balanced, taking the relevant circumstances into account, must favour the granting of the injunction; see </w:t>
      </w:r>
      <w:r>
        <w:rPr>
          <w:rFonts w:ascii="arial" w:eastAsia="arial" w:hAnsi="arial" w:cs="arial"/>
          <w:i/>
          <w:color w:val="000000"/>
          <w:sz w:val="20"/>
          <w:lang w:val="en-US" w:eastAsia="en-US" w:bidi="ar-SA"/>
        </w:rPr>
        <w:t>Mooney v. Orr</w:t>
      </w:r>
      <w:r>
        <w:rPr>
          <w:rFonts w:ascii="arial" w:eastAsia="arial" w:hAnsi="arial" w:cs="arial"/>
          <w:color w:val="000000"/>
          <w:sz w:val="20"/>
          <w:lang w:val="en-US" w:eastAsia="en-US" w:bidi="ar-SA"/>
        </w:rPr>
        <w:t>.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my opinion, treating this matter as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the plaintiff has failed to make out a case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on both branches of the test. This is not a case where fraud is admitted. To the contrary, the allegation of fraud is hotly contested. From all the documentary evidence and course of dealings between Thurston and Farnsworth which are now before the court, arguments are advanced that reasonably could give rise to a defence to the action. In my view,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the first branch of the test, has not been made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Similarly I am not convinced that a balancing of the interests of the parties favours the granting of an injunction. Substantial arguments will be made based on the submissions before me that there was no fraud as alleged. Nutriview's account, which transactions are before the court, reveals a series of transactions which appear to be made in the ordinary course of business. Although there has been repayment of a shareholder's loan, I do not view the payments to Thurston as raising the spectre that the accounts will be depleted to avoid judgment. However, I view the matters regarding GST registration and payment or non-payment at this point as raising such a spectre. Of course, should Thurston fail to follow through on what he says he is doing with respect to the GST owing, that might well affect his credibility in the forthcoming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injunction was set aside. The plaintiff then applied for leave to appeal the decision of Savage J. It was dismissed on October 3, 2011, in reasons indexed at </w:t>
      </w:r>
      <w:hyperlink r:id="rId755" w:history="1">
        <w:r>
          <w:rPr>
            <w:rFonts w:ascii="arial" w:eastAsia="arial" w:hAnsi="arial" w:cs="arial"/>
            <w:i/>
            <w:color w:val="0077CC"/>
            <w:sz w:val="20"/>
            <w:u w:val="single"/>
            <w:shd w:val="clear" w:color="auto" w:fill="FFFFFF"/>
            <w:lang w:val="en-US" w:eastAsia="en-US" w:bidi="ar-SA"/>
          </w:rPr>
          <w:t>2011 BCCA 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entering into the Franchise Agreement of June 29, 2010, Mr. Ma made an entirely improvident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was no expert evidence concerning the value of what Mr. Ma acquired. There is, however, some evidence: Mr. Thurston paid $68,891.09 to Mr. Farnsworth for his business, comprised of $20,793.33 for equipment and $48,097.76 for goodwill. What Mr. Thurston added to it in value was his obtaining of written contracts in place of the oral arrangements that Mr. Farnsworth had with the schools. In addition, Mr. Thurston had a vision and planned to implement remote monitoring, corporate sponsorships, healthy and nutritional products, the addition of beverage machines and so on. Arguably, all of that is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sales figures Mr. Farnsworth provided to Mr. Thurston were also in evidence. In the 2008-2009 school year, Mr. Farnsworth's total sales were $125,508.60. Less purchases ($60,112.10) and commissions ($17,432.08), there was a profit of $47,964.42 that year, or approximately 40% of gross sales. For the 6-month period of September 2009 to February 2010, the total sales were $76,428.85. Less purchases ($38,657.71) and commissions to the schools ($11,318.35), there was a profit of $26,452.79, or approximately 35% of gross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From September 2010 to the beginning of March 2011, Mr. Ma's sales totalled approximately $111,000. However, this amount included beverage sales, something that Mr. Farnsworth's sales figures did not. Mr. Ma's evidence is that the cost of product was 35-40%, or approximately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arrangement that Nutriview made with Mr. Kara is further evidence of the value of the business. For the 2011-2012 school year and thereafter, Mr. Kara's evidence is that he paid Mr. Thurston $2,000 per month to operate the business. That is a small fraction of what Mr. Ma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But the law does not protect Mr. Ma from entering into an improvident bargain or even a highly improvident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noteworthy that the plaintiff does not allege that the Franchise Agreement is unconscionable. The only reference to unconscionability is found at paragraph 16 of the Notice of Civil Claim. The plaintiff alleges that the 15% royalty on sales payable to Nutriview is "harsh and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However, that provision of the Franchise Agreement has not been enforced between the parties. Mr. Thurston stated that he would not look for such a payment until the business was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Ma made a number of arguments other than misrepresentation. I will explain briefly why none of them, in my view, can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Sale of the Franchise to Mr. Ma Before Nutriview Acquired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plaintiff argues that on June 29, 2010, Nutriview did not own the business and had nothing to sell Mr. Ma. The result, the plaintiff says, is that the Franchise Agreement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The plaintiff argues that "it is illegal to sell something that the seller does not own as being against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This argument cannot succeed. That is because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has no application to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Sections 16 and 26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contract of sale or lease, unless the circumstances of the contract are such as to show a different intention, there is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implied condition on the part of the seller or lessor that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sale or lease, the seller or lessor has a right to sell or lease the goods,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 agreement to sell or lease, the seller or lessor will have a right to sell or lease the goods at the time when the property is to pass or the lessee is to take possession of the leased goods,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implied warranty that the buyer or lessee is to have and enjoy quiet possession of the goods,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implied warranty that the goods are free from any charge or encumbrance in favour of any third party, not declared or known to the buyer or lessee before or at the time when the contract is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Subject to this Act, if goods are sold by a person who is not the owner of them, and who does not sell them under the authority or with the consent of the owner, the buyer acquires no better title to the goods than the seller had, unless the owner's conduct precludes the owner from denying the seller's authority to sell.</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Act affects the validity of any contract of sale under any special common law or statutory power of sale, or under the order of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only applies to transactions that are primarily for the purpose of selling goods.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the Supreme Court of Canada discussed the application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to contracts for both goods and other things. The Court put it this way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In order for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to apply, a contract must primarily be for the purpose of selling goods. If the sale of a good is merely incidental to what is primarily a contract for services, then the statute will not imply a warranty. As Legg J. observed in </w:t>
      </w:r>
      <w:r>
        <w:rPr>
          <w:rFonts w:ascii="arial" w:eastAsia="arial" w:hAnsi="arial" w:cs="arial"/>
          <w:i/>
          <w:color w:val="000000"/>
          <w:sz w:val="20"/>
          <w:lang w:val="en-US" w:eastAsia="en-US" w:bidi="ar-SA"/>
        </w:rPr>
        <w:t>Gee v. Whitespot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(1986), 7 B.C.L.R. (2d) 235</w:t>
        </w:r>
      </w:hyperlink>
      <w:r>
        <w:rPr>
          <w:rFonts w:ascii="arial" w:eastAsia="arial" w:hAnsi="arial" w:cs="arial"/>
          <w:color w:val="000000"/>
          <w:sz w:val="20"/>
          <w:lang w:val="en-US" w:eastAsia="en-US" w:bidi="ar-SA"/>
        </w:rPr>
        <w:t xml:space="preserve"> (S.C.), in order to come within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 contract need not be one exclusively for the sale of goods. However, the sale of a good must be the primary purpose of the contract. Whether a contract is primarily one for the sale of goods or primarily one for services depends upon the essential character of the agreement. As G.H.L. Fridman wrote a p. 25 of </w:t>
      </w:r>
      <w:r>
        <w:rPr>
          <w:rFonts w:ascii="arial" w:eastAsia="arial" w:hAnsi="arial" w:cs="arial"/>
          <w:i/>
          <w:color w:val="000000"/>
          <w:sz w:val="20"/>
          <w:lang w:val="en-US" w:eastAsia="en-US" w:bidi="ar-SA"/>
        </w:rPr>
        <w:t>Sale of Goods in Canada</w:t>
      </w:r>
      <w:r>
        <w:rPr>
          <w:rFonts w:ascii="arial" w:eastAsia="arial" w:hAnsi="arial" w:cs="arial"/>
          <w:color w:val="000000"/>
          <w:sz w:val="20"/>
          <w:lang w:val="en-US" w:eastAsia="en-US" w:bidi="ar-SA"/>
        </w:rPr>
        <w:t xml:space="preserve"> (2nd ed. 1979):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the primary object of the contract is the transference of property in something which was not originally the property of the "buyer", the contract will be one of sale of goods: but if the primary purpose of the parties is the performance of certain work, or the provision of services, incidentally to which property in goods is to pass from one party to another, the contract will not be one of sale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contract between Nutriview and Mr. Ma cannot be said to be primarily for the sale of goods. The goods are not even mentioned in article 2.1, the operative term of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provisions of this Agreement and for the term hereinafter specified, Nutriview Systems hereby grants to the Franchisee an exclusive right to operate the Business at and from each Location found within the School District where agreements have been and will be committed to in written and/or verbal form. Termination or expiration of this Agreement shall constitute a termination or expiration of the rights and licence granted 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balance payable on June 29, 2010, was described in article 3.1 as "$396,843.75 Plus Equipment Costs". I take this to mean that the Franchise Agreement included the sale of the existing vending machines, but that Mr. Ma would have to pay for the new beverage machines that were to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value of the existing machines was not substantial. Mr. Thurston paid less than $21,000 for the machines which he acquired the following day. Clearly, the sale of the vending machines to Mr. Ma was merely incidental to the central purpose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Even if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applies, s. 26 does not confer any rights on a purchaser. It is not a rule of law but a principle. Section 26 is a codification of the legal maxim expressed in Latin as </w:t>
      </w:r>
      <w:r>
        <w:rPr>
          <w:rFonts w:ascii="arial" w:eastAsia="arial" w:hAnsi="arial" w:cs="arial"/>
          <w:i/>
          <w:color w:val="000000"/>
          <w:sz w:val="20"/>
          <w:lang w:val="en-US" w:eastAsia="en-US" w:bidi="ar-SA"/>
        </w:rPr>
        <w:t>nemo dat quod non habet</w:t>
      </w:r>
      <w:r>
        <w:rPr>
          <w:rFonts w:ascii="arial" w:eastAsia="arial" w:hAnsi="arial" w:cs="arial"/>
          <w:color w:val="000000"/>
          <w:sz w:val="20"/>
          <w:lang w:val="en-US" w:eastAsia="en-US" w:bidi="ar-SA"/>
        </w:rPr>
        <w:t xml:space="preserve">. That is, a purchaser acquires no better title to goods than the vendor held. A seller cannot be in breach of s. 26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sale of the franchise to Mr. Ma in this case is arguably a breach of an implied condition described in s. 16(a)(i), that is, the seller did not have the right to sell the "goods". But what flows from that breach? The plaintiff suffered no harm because of it. If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applied and the plaintiff had learned of the breach before it was rectified, the plaintiff may have had the right to rescind the agreement. But the breach is meaningless because there never was any knowledge. It was many months after the breach had been cured that Mr. Ma first learned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Validity of Nutriview's Contracts with the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Part of the plaintiff's claim is that the Location Agreements or Equipment Placement Agreements that Nutriview entered into with the schools are voidable. The plaintiff amended his pleadings and argues that the power to enter into such contracts is reserved for the secretary/treasurer of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Chris Nicolls, the assistant secretary/treasurer with the Coquitlam School District, testified that the school district has an internal policy that contracts of a certain length ought to be authorized by the secretary/treasurer. He conceded, however, that this internal policy has not been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this regard, the plaintiff relies on s. 23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A board must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a secretary treasurer of the board,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 for the bonding of the secretary treasurer in an amount the board considers adequate.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secretary treasurer of a board is its corporate financial officer and must perform those duties set out in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School Regulation</w:t>
      </w:r>
      <w:r>
        <w:rPr>
          <w:rFonts w:ascii="arial" w:eastAsia="arial" w:hAnsi="arial" w:cs="arial"/>
          <w:color w:val="000000"/>
          <w:sz w:val="20"/>
          <w:lang w:val="en-US" w:eastAsia="en-US" w:bidi="ar-SA"/>
        </w:rPr>
        <w:t>, B.C. Reg. 265/89 provides: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secretary treasurer of a board shall:</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become familiar with and comply with the accounting and administrative procedures specified by the minister and shall keep a record of the proceedings of the board and perform the other duties the board may assign in relation to its corporate affairs, $* $* &lt;/QL:LISTLEVEL2&gt; $*$*</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the duties specified for a secretary treasurer by the Act and the regulations, rules or orders made under it, and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perform those duties assigned by the board. $* $* &lt;/QL:LISTLEVEL2&gt; $*$*</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referred to in subsection (1) (a), and all books, accounts, vouchers and papers of the board, shall at all times be subject to inspection by the minister or his or her designated representative and the comptroller general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find anything in those provisions restricting the ability of the schools to enter into contracts. In any event, a failure by a school administrator to follow an internal district policy does not affect the validity of a contract with a third party. This aspect of the claim must be dismissed.</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also argues that Nutriview and Mr. Thurston were unjustly enriched when they carried on the operation of the business after Mr. Ma decided not to continue and walked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elements of a claim for unjust enrichment are well-known:</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relationship between the parties was governed by a contract. The plaintiff abandoned the business in March 2011. Nutriview was required to perform its obligations under the contracts that it had with schools in the Coquitlam School District. This is also in line with Nutriview's duty to mitigate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contractual relationship between the parties provides a juristic reason for any enrichment and corresponding deprivation. I agree with the defendants that the doctrine of unjust enrichment has no application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Good Faith and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parties to a franchise agreement are entitled to act in their own self-interest, but they must deal honestly and reasonably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What flows from Mr. Thurston's advice that the plaintiff ought not to consult a lawyer? I conclude that no cause of action arises. First, I note that article 13.12 of the Franchise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13.12 The Franchisee acknowledges that the Franchisee has had all adequate opportunity to be advised by advisors of the Franchisee's own choosing regarding all pertinent legal and business aspects of this Agreement and the relationship created hereby and that the Franchisee has been requested by Nutriview Systems and its representatives to seek independent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Notwithstanding this clause, I have found as a fact that Mr. Thurston did actively discourage Mr. Ma from obtaining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However, the only possible cause of action arising from this bad advice would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advice, that is,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That requires Mr. Ma to establish that Mr. Thurston owed him a duty of care in this regard and that he reasonably relied on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Mr. Thurston did not owe Mr. Ma such a duty of care. In </w:t>
      </w:r>
      <w:r>
        <w:rPr>
          <w:rFonts w:ascii="arial" w:eastAsia="arial" w:hAnsi="arial" w:cs="arial"/>
          <w:i/>
          <w:color w:val="000000"/>
          <w:sz w:val="20"/>
          <w:lang w:val="en-US" w:eastAsia="en-US" w:bidi="ar-SA"/>
        </w:rPr>
        <w:t>Andronyk v. Williams</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(1985), 21 D.L.R. (4th) 557</w:t>
        </w:r>
      </w:hyperlink>
      <w:r>
        <w:rPr>
          <w:rFonts w:ascii="arial" w:eastAsia="arial" w:hAnsi="arial" w:cs="arial"/>
          <w:color w:val="000000"/>
          <w:sz w:val="20"/>
          <w:lang w:val="en-US" w:eastAsia="en-US" w:bidi="ar-SA"/>
        </w:rPr>
        <w:t xml:space="preserve"> (Man. C.A.), Mr. Justice O'Sullivan said the following with respect to a duty of care between parties engaged in pre-contractual negotiations: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 Representations made in the course of negotiations, but not incorporated into a contract as a term thereof, are not actionable in damages for economic loss, unless they are made in breach of an actionable duty to take care. The fact that a representation made by a person with such duty was made in the course of pre-contract negotiations does not preclude tortious liability. Whether a duty of care exists depends on circumstances pointing to a relationship between the plaintiff and defendant, according to which it is reasonable for the plaintiff to expect there is an actionable duty to care in making statements which are foreseen to cause economic loss. The fact that parties are in pre-contract negotiations is not in itself sufficient to create such an actionable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At most, Mr. Thurston owed Mr. Ma a limited duty of care to provide accurate information regarding the business. That is based on the imbalance of knowledge between Mr. Thurston and Mr. Ma, the special relationship envisaged by the Supreme Court of Canada in </w:t>
      </w:r>
      <w:r>
        <w:rPr>
          <w:rFonts w:ascii="arial" w:eastAsia="arial" w:hAnsi="arial" w:cs="arial"/>
          <w:i/>
          <w:color w:val="000000"/>
          <w:sz w:val="20"/>
          <w:lang w:val="en-US" w:eastAsia="en-US" w:bidi="ar-SA"/>
        </w:rPr>
        <w:t>Queen v. Cognos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However, I agree with the defendants that the imposition of a duty of care on arm's length negotiating parties does not extend to the protection of Mr. Ma's legal and/or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Moreover, it was unreasonable for Mr. Ma to rely on such advice in any event. He was entering into a large financial transaction. He should have sought independent legal and business advice. He should never have relied on Mr. Thurston's cynical advice to the contrary.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Three potential causes of action arise in the context of pre-contractual representations: fraudulent misrepresentation, negligent misrepresentation and innocent misrepresentation. The plaintiff in this case alleges only fraudulent misrepresentation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the exclusion clause in the contract operates to exclude liability for negligent but not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test for fraudulent misrepresentation was set out by Bauman J.A., as he then was, in </w:t>
      </w:r>
      <w:r>
        <w:rPr>
          <w:rFonts w:ascii="arial" w:eastAsia="arial" w:hAnsi="arial" w:cs="arial"/>
          <w:i/>
          <w:color w:val="000000"/>
          <w:sz w:val="20"/>
          <w:lang w:val="en-US" w:eastAsia="en-US" w:bidi="ar-SA"/>
        </w:rPr>
        <w:t>Catalyst Pulp and Paper Sales Inc. v. Universal Paper Export Co.</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the representation must be false in fact; $* $* &lt;/QL:LISTLEVEL2&gt; $*$*</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 $* $* &lt;/QL:LISTLEVEL2&gt;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the victim must have been induced by the representation to enter into the contract.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(Toronto: Carswell, 2011) at 284, Professor Fridman described the distinction between fraudulent and non-fraudulent misrepresentations. He stated that a fraudulent representation "is one which is made with knowledge that it is untrue and with the intent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287, Professor Fridman went on to state that an allegation of fraud is a very serious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while the courts will protect an innocent party from gross fraud, they will not attempt to protect a contracting party from all types of conduct. In accordance with the general principles of the law of contract, a party is expected to look out for himself, and make his own bargains. If he has done foolishly, that is his own fault and he is left to his own devices. Only from totally improper conduct, in this instance fraud, will he be granted protection and a remedy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tort of negligent misrepresentation was described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Article 13.7 of the Franchise Agreement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expressly understood and agreed that Nutriview Systems Inc. has made no representations, inducements, warranties, or promises whether direct, indirect, has collateral, oral or otherwise, concerning this Agreement, the matters contained herein, or concerning any other matter which are not embodies [sic] 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Such clauses will generally exclude a party's liability for misrepresentations that are not fraudulent. In </w:t>
      </w:r>
      <w:r>
        <w:rPr>
          <w:rFonts w:ascii="arial" w:eastAsia="arial" w:hAnsi="arial" w:cs="arial"/>
          <w:i/>
          <w:color w:val="000000"/>
          <w:sz w:val="20"/>
          <w:lang w:val="en-US" w:eastAsia="en-US" w:bidi="ar-SA"/>
        </w:rPr>
        <w:t>Peters v. Parkway Mercury Sales Ltd.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(1975), 10 N.B.R. (2d) 703</w:t>
        </w:r>
      </w:hyperlink>
      <w:r>
        <w:rPr>
          <w:rFonts w:ascii="arial" w:eastAsia="arial" w:hAnsi="arial" w:cs="arial"/>
          <w:color w:val="000000"/>
          <w:sz w:val="20"/>
          <w:lang w:val="en-US" w:eastAsia="en-US" w:bidi="ar-SA"/>
        </w:rPr>
        <w:t xml:space="preserve"> (C.A.), there was a used car guarantee that included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guarantee is expressly IN LIEU OF all other guarantees, warranties or representations, express or implied, including ALL IMPLIED WARRANTY OF MERCHANTABILITY OR FITNESS, and of all other obligations or liabilities on the part of the dealer with respect to this vehicle, any part thereof or the sale thereof. This guarantee must be presented with the vehicle described herein for any and all adjustments and is not transferable or assignable.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New Brunswick Court of Appeal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my opinion, the exemption provision quoted above has the effect of excluding all liability for any misrepresentation except where the misrepresentation is one of a fraudulent character rendering the contract of sale 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That decision was relied upon by Wong Co. Ct. J. (as he then was) in </w:t>
      </w:r>
      <w:r>
        <w:rPr>
          <w:rFonts w:ascii="arial" w:eastAsia="arial" w:hAnsi="arial" w:cs="arial"/>
          <w:i/>
          <w:color w:val="000000"/>
          <w:sz w:val="20"/>
          <w:lang w:val="en-US" w:eastAsia="en-US" w:bidi="ar-SA"/>
        </w:rPr>
        <w:t>Leimbigler v. Rabbiosi</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[1983] B.C.J. No. 843</w:t>
        </w:r>
      </w:hyperlink>
      <w:r>
        <w:rPr>
          <w:rFonts w:ascii="arial" w:eastAsia="arial" w:hAnsi="arial" w:cs="arial"/>
          <w:color w:val="000000"/>
          <w:sz w:val="20"/>
          <w:lang w:val="en-US" w:eastAsia="en-US" w:bidi="ar-SA"/>
        </w:rPr>
        <w:t xml:space="preserve"> (Co. Ct.). This case involved the purchase of a cattle ranch. It was alleged that the defendant had made negligent misrepresentations in the course of pre-contractual dealings. The contract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by and between the Vendor and the Purchaser that there are no further or other representations, warranties, undertakings or agreements save those contained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Judge Wong held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wording of the exclusion clause is explicit and broad: it excludes "other representations" and "warranties". Not only does the exemption provision have the effect of excluding liability for indemnification in warranty, but would also, I venture to say, go so far as to exclude all liability for any misrepresentation, except fraud.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Franchise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There has been some discussion in the case law about the nature of the franchisor-franchisee relationship. Courts have recognized that there is a common law duty of good faith between a franchisor and a franchisee. There is no fiduciary duty: </w:t>
      </w:r>
      <w:r>
        <w:rPr>
          <w:rFonts w:ascii="arial" w:eastAsia="arial" w:hAnsi="arial" w:cs="arial"/>
          <w:i/>
          <w:color w:val="000000"/>
          <w:sz w:val="20"/>
          <w:lang w:val="en-US" w:eastAsia="en-US" w:bidi="ar-SA"/>
        </w:rPr>
        <w:t>Jirna v. Mister Donut of Canada</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[1975] 1 S.C.R.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 duty of good faith is different from a fiduciary duty. In </w:t>
      </w:r>
      <w:r>
        <w:rPr>
          <w:rFonts w:ascii="arial" w:eastAsia="arial" w:hAnsi="arial" w:cs="arial"/>
          <w:i/>
          <w:color w:val="000000"/>
          <w:sz w:val="20"/>
          <w:lang w:val="en-US" w:eastAsia="en-US" w:bidi="ar-SA"/>
        </w:rPr>
        <w:t>Shelanu Inc. v. Print Three Franchising Corp.</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(2003), 64 O.R. (3d) 533</w:t>
        </w:r>
      </w:hyperlink>
      <w:r>
        <w:rPr>
          <w:rFonts w:ascii="arial" w:eastAsia="arial" w:hAnsi="arial" w:cs="arial"/>
          <w:color w:val="000000"/>
          <w:sz w:val="20"/>
          <w:lang w:val="en-US" w:eastAsia="en-US" w:bidi="ar-SA"/>
        </w:rPr>
        <w:t xml:space="preserve"> (C.A.), the Ontario Court of Appeal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There is at least one important difference between the duty of good faith and a fiduciary duty. If, for example, A owes a fiduciary duty to B, A must act only in accordance with B's interests when A exercises its powers or exercises a discretion arising out of the relationship: see </w:t>
      </w:r>
      <w:r>
        <w:rPr>
          <w:rFonts w:ascii="arial" w:eastAsia="arial" w:hAnsi="arial" w:cs="arial"/>
          <w:i/>
          <w:color w:val="000000"/>
          <w:sz w:val="20"/>
          <w:lang w:val="en-US" w:eastAsia="en-US" w:bidi="ar-SA"/>
        </w:rPr>
        <w:t>York Condominium Corp. No. 167 v. Newrey Holdings Ltd.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(1981), 32 O.R. (2d) 458</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122 D.L.R. (3d) 280</w:t>
        </w:r>
      </w:hyperlink>
      <w:r>
        <w:rPr>
          <w:rFonts w:ascii="arial" w:eastAsia="arial" w:hAnsi="arial" w:cs="arial"/>
          <w:color w:val="000000"/>
          <w:sz w:val="20"/>
          <w:lang w:val="en-US" w:eastAsia="en-US" w:bidi="ar-SA"/>
        </w:rPr>
        <w:t xml:space="preserve"> (C.A.) at p. 467 O.R., p. 289 D.L.R., leave to appeal to the Supreme Court of Canada refused </w:t>
      </w:r>
      <w:hyperlink r:id="rId765" w:history="1">
        <w:r>
          <w:rPr>
            <w:rFonts w:ascii="arial" w:eastAsia="arial" w:hAnsi="arial" w:cs="arial"/>
            <w:i/>
            <w:color w:val="0077CC"/>
            <w:sz w:val="20"/>
            <w:u w:val="single"/>
            <w:shd w:val="clear" w:color="auto" w:fill="FFFFFF"/>
            <w:lang w:val="en-US" w:eastAsia="en-US" w:bidi="ar-SA"/>
          </w:rPr>
          <w:t>[1981] 1 S.C.R. xi</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117 D.L.R. (4th) 161</w:t>
        </w:r>
      </w:hyperlink>
      <w:r>
        <w:rPr>
          <w:rFonts w:ascii="arial" w:eastAsia="arial" w:hAnsi="arial" w:cs="arial"/>
          <w:color w:val="000000"/>
          <w:sz w:val="20"/>
          <w:lang w:val="en-US" w:eastAsia="en-US" w:bidi="ar-SA"/>
        </w:rPr>
        <w:t xml:space="preserve">. If, on the other hand, A owes a duty of good faith to B, A must give consideration to B's interests as well as to its own interests before exercising its power. Thus, if A owes a duty of good faith to B, so long as A deals honestly and reasonably with B, B's interests are not necessarily paramount: see for example </w:t>
      </w:r>
      <w:r>
        <w:rPr>
          <w:rFonts w:ascii="arial" w:eastAsia="arial" w:hAnsi="arial" w:cs="arial"/>
          <w:i/>
          <w:color w:val="000000"/>
          <w:sz w:val="20"/>
          <w:lang w:val="en-US" w:eastAsia="en-US" w:bidi="ar-SA"/>
        </w:rPr>
        <w:t>Mason v. Freedman</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[1958] S.C.R. 483</w:t>
        </w:r>
      </w:hyperlink>
      <w:r>
        <w:rPr>
          <w:rFonts w:ascii="arial" w:eastAsia="arial" w:hAnsi="arial" w:cs="arial"/>
          <w:color w:val="000000"/>
          <w:sz w:val="20"/>
          <w:lang w:val="en-US" w:eastAsia="en-US" w:bidi="ar-SA"/>
        </w:rPr>
        <w:t>, 14 D.L.R. (2d) 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at least one case, the duty has been described as one of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 xml:space="preserve">, that is, "utmost good faith": </w:t>
      </w:r>
      <w:r>
        <w:rPr>
          <w:rFonts w:ascii="arial" w:eastAsia="arial" w:hAnsi="arial" w:cs="arial"/>
          <w:i/>
          <w:color w:val="000000"/>
          <w:sz w:val="20"/>
          <w:lang w:val="en-US" w:eastAsia="en-US" w:bidi="ar-SA"/>
        </w:rPr>
        <w:t>Machias v. Mr. Submarine Ltd.</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(2002), 24 B.L.R. (3d) 228</w:t>
        </w:r>
      </w:hyperlink>
      <w:r>
        <w:rPr>
          <w:rFonts w:ascii="arial" w:eastAsia="arial" w:hAnsi="arial" w:cs="arial"/>
          <w:color w:val="000000"/>
          <w:sz w:val="20"/>
          <w:lang w:val="en-US" w:eastAsia="en-US" w:bidi="ar-SA"/>
        </w:rPr>
        <w:t xml:space="preserve"> (Ont. S.C.J.). That characterization has not been supported by other cases. I conclude that the duty is one of simple good faith. See also: </w:t>
      </w:r>
      <w:r>
        <w:rPr>
          <w:rFonts w:ascii="arial" w:eastAsia="arial" w:hAnsi="arial" w:cs="arial"/>
          <w:i/>
          <w:color w:val="000000"/>
          <w:sz w:val="20"/>
          <w:lang w:val="en-US" w:eastAsia="en-US" w:bidi="ar-SA"/>
        </w:rPr>
        <w:t>TDL Group Ltd. v. Zabco Holdings Inc.</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2008 MBQB 239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Ismail v. Treats Inc.</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2004 NSSC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duty of good faith does not rise to a fiduciary standard. The duty of good faith requires parties to deal honestly and reasonably with each other, but permits the parties to act in their own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argues that the defendants made numerous, material, negligent and/or false representations "amounting to fraud" in order to induce the plaintiff into purchasing the business. These alleged misrepresentations include:</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remote monitoring system would cut down on time and labour costs;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Nutrivew had a unique marketing plan;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11 written agreements with schools for five years and six agreements for one year, when those agreements were in fact contrary to school district policies and are voidable;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Nutriview had a manual for operating procedures;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Nutriview would provide continuing advice and guidance;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machines would have promotional material or "wrapping" and that would generate revenue;</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Thurston would buy back the franchise at the price paid for it if Mr. Ma was not satisfied;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Nutriview had agreements with suppliers to provide products at the best prices;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Nutriview had a corporate sponsorship agreement with EA Sports and there was a similar deal with Lululemon on the horizon; and</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each machine would have a video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These claims conflate two different legal concepts. The plaintiff alleges fraud, but many of the allegations, even if proved, would not amount to fraud. Generally, a promise to perform in a particular way, if unmet, does not become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For example, the fifth allegation listed above, that Nutriview would provide continuing advice and guidance, is not a representation of fact. It is a promise to perform. In fact, it is a promise contained within article 5 of the Franchise Agreement. However, the plaintiff did not advance a breach of contract claim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any event, many of these claims are not established in the evidence. Many, even if proved, are not representations of fact and could not amount to fraud. Moreover, the plaintiff faces the difficulty that these representations are not contained in the written Franchise Agreement, which has an entire agreement clause. To use the words of Judge Wong, I find that the entire agreement clause contained in article 13.7 is "explicit and broad" and would "go so far as to exclude all liability for any misrepresentation, except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short, the plaintiff's argument in this regard and allegations of fraud are made loosely. Allegations of fraud are very serious. They must be proved by clear and cogent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general rule is that when a person promises to do something and fails to fulfill his or her promise, that is not a misrepresentation of fact. It is only a promise to perform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However, it is a misrepresentation if a person makes a statement of his/her present intention and in fact has no such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This distinction was discussed by Professor Fridman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at 286: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positive misstatement of </w:t>
      </w:r>
      <w:r>
        <w:rPr>
          <w:rFonts w:ascii="arial" w:eastAsia="arial" w:hAnsi="arial" w:cs="arial"/>
          <w:i/>
          <w:color w:val="000000"/>
          <w:sz w:val="20"/>
          <w:lang w:val="en-US" w:eastAsia="en-US" w:bidi="ar-SA"/>
        </w:rPr>
        <w:t>fact</w:t>
      </w:r>
      <w:r>
        <w:rPr>
          <w:rFonts w:ascii="arial" w:eastAsia="arial" w:hAnsi="arial" w:cs="arial"/>
          <w:color w:val="000000"/>
          <w:sz w:val="20"/>
          <w:lang w:val="en-US" w:eastAsia="en-US" w:bidi="ar-SA"/>
        </w:rPr>
        <w:t xml:space="preserve">. "Representation to give grounds for the avoidance of a contract must be matters of fact and this means either an existing fact or a past event." </w:t>
      </w:r>
      <w:r>
        <w:rPr>
          <w:rFonts w:ascii="arial" w:eastAsia="arial" w:hAnsi="arial" w:cs="arial"/>
          <w:color w:val="000000"/>
          <w:sz w:val="20"/>
          <w:u w:val="single"/>
          <w:lang w:val="en-US" w:eastAsia="en-US" w:bidi="ar-SA"/>
        </w:rPr>
        <w:t>However, an intention as to the future may in some instances be treated as a fact.</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International Casualty Co. v. Thomson</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(1913), 48 S.C.R. 167</w:t>
        </w:r>
      </w:hyperlink>
      <w:r>
        <w:rPr>
          <w:rFonts w:ascii="arial" w:eastAsia="arial" w:hAnsi="arial" w:cs="arial"/>
          <w:color w:val="000000"/>
          <w:sz w:val="20"/>
          <w:lang w:val="en-US" w:eastAsia="en-US" w:bidi="ar-SA"/>
        </w:rPr>
        <w:t xml:space="preserve">] the plaintiff contracted to buy shares in an insurance company on condition that within a fixed time the company would be in business in Vancouver and the plaintiff would be made the medical examiner of the company for that city. When the stipulated event did not happen it was held that the contract could be rescinded for fraudulent misrepresentation. The "intention" of the company to do business in the future, was a misstatement as to fact, that is, its </w:t>
      </w:r>
      <w:r>
        <w:rPr>
          <w:rFonts w:ascii="arial" w:eastAsia="arial" w:hAnsi="arial" w:cs="arial"/>
          <w:i/>
          <w:color w:val="000000"/>
          <w:sz w:val="20"/>
          <w:lang w:val="en-US" w:eastAsia="en-US" w:bidi="ar-SA"/>
        </w:rPr>
        <w:t>present</w:t>
      </w:r>
      <w:r>
        <w:rPr>
          <w:rFonts w:ascii="arial" w:eastAsia="arial" w:hAnsi="arial" w:cs="arial"/>
          <w:color w:val="000000"/>
          <w:sz w:val="20"/>
          <w:lang w:val="en-US" w:eastAsia="en-US" w:bidi="ar-SA"/>
        </w:rPr>
        <w:t xml:space="preserve"> state of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 emphasis in original;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point was also made by G.H. Treitel in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13th ed. (London: Stevens &amp; Sons, 2011) at 364: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who promises to do something may simply be making a statement as to his future conduct; if so, he does not misrepresent a fact merely because he fails to do what he said he would do. But he may also be making a statement of his present intention; if so, he does misrepresent a fact if, when he made the statement, he had no such intention. The courts tend to construe statements as to the future in the second of these two ways in order to protect the interests of persons deceived by them. In </w:t>
      </w:r>
      <w:r>
        <w:rPr>
          <w:rFonts w:ascii="arial" w:eastAsia="arial" w:hAnsi="arial" w:cs="arial"/>
          <w:i/>
          <w:color w:val="000000"/>
          <w:sz w:val="20"/>
          <w:lang w:val="en-US" w:eastAsia="en-US" w:bidi="ar-SA"/>
        </w:rPr>
        <w:t>Edgington v. Fitzmaurice,</w:t>
      </w:r>
      <w:r>
        <w:rPr>
          <w:rFonts w:ascii="arial" w:eastAsia="arial" w:hAnsi="arial" w:cs="arial"/>
          <w:color w:val="000000"/>
          <w:sz w:val="20"/>
          <w:lang w:val="en-US" w:eastAsia="en-US" w:bidi="ar-SA"/>
        </w:rPr>
        <w:t xml:space="preserve"> the directors of a company procured a loan of money to the company by representing that the money would be used to improve the company's buildings and to expand its business. In fact the directors intended to use the money to pay off the company's existing debts. They were held liable in deceit. Bowen L.J.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must be a misstatement of an existing fact: but the state of a man's mind is as much a fact as the state of his digestion. ... A misrepresentation as to the state of a man's mind is, therefore, a misstatement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are three misrepresentations which, I find, were made. First, Mr. Thurston told Mr. Ma that there was a corporate sponsorship agreement in place with EA Sports and that he was about to finalize a similar deal with Lululemon. That statement was not true. Second, Mr. Thurston told Mr. Ma that he had arrangements with a number of suppliers or distributors to provide products at preferred prices. This was not true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Third, Mr. Thurston promised to buy the business back in the first year if Mr. Ma was dissatisfied. This was a misstatement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am satisfied that when Mr. Thurston made this promise, he had no intention of living up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have reached that conclusion for four reasons. First, Mr. Thurston completely denies the statement. It would be entirely different if Mr. Thurston admitted he made such a statement but explained why he was unable to carry out this commitment.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Second, it was Mr. Thurston who drafted the contract. The omission of this promise from the written document is further evidence that he had no intention of honouring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Third, when Mr. Ma sent an email on March 3, 2011, seeking to invoke this guarantee to buy back the franchise, Mr. Thurston did not even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Fourth, Mr. Thurston was surely aware that he had succeeded in obtaining an unreasonably high price for the franchise. Having done so, it is inherently unlikely that he had any intention of paying this money back if Mr. Ma were later dissatisfied.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find on all of the evidence that Mr. Thurston made promises and representations knowing they were not true in order to induce the plaintiff to enter this improvident contract. Thus, this is a promise which Mr. Thurston made and which he had no intention of keeping. As such, and as Professors Fridman and Treitel discuss above, this is a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These three misrepresentations satisfy the test for fraudulent misrepresentation from </w:t>
      </w:r>
      <w:r>
        <w:rPr>
          <w:rFonts w:ascii="arial" w:eastAsia="arial" w:hAnsi="arial" w:cs="arial"/>
          <w:i/>
          <w:color w:val="000000"/>
          <w:sz w:val="20"/>
          <w:lang w:val="en-US" w:eastAsia="en-US" w:bidi="ar-SA"/>
        </w:rPr>
        <w:t>Catalyst Pulp and Paper Sales Inc.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Thurston made representations of fact to Mr. Ma;</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were false in fact;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Thurston knew they were false; and</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 relied on the representations and they induced him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conclude that Mr. Ma relied on these misrepresentations, particularly the offer to buy back the franchise. It was operative in his decision to purchase the franchise. The inference in this regard is irresistible. The buy back guarantee was the subject of a discussion between Mr. Ma and his friend Mr. Chan. It was the first claim he made in his telephone call to Mr. Thurston on March 3, 2011. He also referred to it in his email of the same day, the email to which Mr. Thurston did not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For all Mr. Ma's gullibility and naiveté, I find that he must have looked at this promise as a crucial element in his decision to enter into the franchise agreement. I find as a fact that Mr. Ma would not have entered into the contract if the promise of the one year buy back guarantee had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promise to buy the business back also satisfies the criteria for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sum, I have found three instances of fraudulent misrepresentation in this case:</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sponsorship agreement in place with EA Sports;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agreements in place with suppliers or distributors for preferred pricing;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Thurston made the promise that he would buy the franchise back within a year if it was not profitable, when he had no intention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other allegations made by the plaintiff are promises to perform in the future. A number of them were not kept. For Mr. Ma's purposes, there simply was no remote monitoring. The promise that the machines would have a video screen that would increase revenue was not kept either. No causes of action arise with respect to the remaining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 contract induced by fraud is voidable at the election of the defrauded party: Fridman at 291-92.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measure of damages is the loss suffered through the deceit, so as to put the injured party in the position he would have been in had the fraud not occurred: Fridman at 292.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Parna v. G. &amp; S. Properties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[1969] 2 O.R. 346</w:t>
        </w:r>
      </w:hyperlink>
      <w:r>
        <w:rPr>
          <w:rFonts w:ascii="arial" w:eastAsia="arial" w:hAnsi="arial" w:cs="arial"/>
          <w:color w:val="000000"/>
          <w:sz w:val="20"/>
          <w:lang w:val="en-US" w:eastAsia="en-US" w:bidi="ar-SA"/>
        </w:rPr>
        <w:t xml:space="preserve"> (C.A.), rev'd as to liability (1970), </w:t>
      </w:r>
      <w:hyperlink r:id="rId773" w:history="1">
        <w:r>
          <w:rPr>
            <w:rFonts w:ascii="arial" w:eastAsia="arial" w:hAnsi="arial" w:cs="arial"/>
            <w:i/>
            <w:color w:val="0077CC"/>
            <w:sz w:val="20"/>
            <w:u w:val="single"/>
            <w:shd w:val="clear" w:color="auto" w:fill="FFFFFF"/>
            <w:lang w:val="en-US" w:eastAsia="en-US" w:bidi="ar-SA"/>
          </w:rPr>
          <w:t>[1971] S.C.R. 306</w:t>
        </w:r>
      </w:hyperlink>
      <w:r>
        <w:rPr>
          <w:rFonts w:ascii="arial" w:eastAsia="arial" w:hAnsi="arial" w:cs="arial"/>
          <w:color w:val="000000"/>
          <w:sz w:val="20"/>
          <w:lang w:val="en-US" w:eastAsia="en-US" w:bidi="ar-SA"/>
        </w:rPr>
        <w:t xml:space="preserve">, the Court of Appeal held that in damages for fraud, the plaintiff is to be put in the same position the plaintiff would have been in if the representation had not been made, not the position if the representation had been true. See also: </w:t>
      </w:r>
      <w:r>
        <w:rPr>
          <w:rFonts w:ascii="arial" w:eastAsia="arial" w:hAnsi="arial" w:cs="arial"/>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(C.A.), leave to appeal to S.C.C. refused (1982), 42 N.R.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Here, the plaintiff seeks rescission of the contract and a refund of the franchise fee. As I have found above, the plaintiff would not have entered into the contract but for the promise of the one year buy back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some cases involving fraudulent misrepresentation, rescission is not possible or is not sought. This may be for a variety of reasons. For example, see: </w:t>
      </w:r>
      <w:r>
        <w:rPr>
          <w:rFonts w:ascii="arial" w:eastAsia="arial" w:hAnsi="arial" w:cs="arial"/>
          <w:i/>
          <w:color w:val="000000"/>
          <w:sz w:val="20"/>
          <w:lang w:val="en-US" w:eastAsia="en-US" w:bidi="ar-SA"/>
        </w:rPr>
        <w:t>1565831 Ontario Limited v. Klupt</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2007 ONCA 440</w:t>
        </w:r>
      </w:hyperlink>
      <w:r>
        <w:rPr>
          <w:rFonts w:ascii="arial" w:eastAsia="arial" w:hAnsi="arial" w:cs="arial"/>
          <w:color w:val="000000"/>
          <w:sz w:val="20"/>
          <w:lang w:val="en-US" w:eastAsia="en-US" w:bidi="ar-SA"/>
        </w:rPr>
        <w:t xml:space="preserve">, varying </w:t>
      </w:r>
      <w:hyperlink r:id="rId776" w:history="1">
        <w:r>
          <w:rPr>
            <w:rFonts w:ascii="arial" w:eastAsia="arial" w:hAnsi="arial" w:cs="arial"/>
            <w:i/>
            <w:color w:val="0077CC"/>
            <w:sz w:val="20"/>
            <w:u w:val="single"/>
            <w:shd w:val="clear" w:color="auto" w:fill="FFFFFF"/>
            <w:lang w:val="en-US" w:eastAsia="en-US" w:bidi="ar-SA"/>
          </w:rPr>
          <w:t>[2005] O.J. No. 4946</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Goldstar Management Ltd. v. Varvis</w:t>
      </w:r>
      <w:r>
        <w:rPr>
          <w:rFonts w:ascii="arial" w:eastAsia="arial" w:hAnsi="arial" w:cs="arial"/>
          <w:color w:val="000000"/>
          <w:sz w:val="20"/>
          <w:lang w:val="en-US" w:eastAsia="en-US" w:bidi="ar-SA"/>
        </w:rPr>
        <w:t xml:space="preserve"> (1995), </w:t>
      </w:r>
      <w:hyperlink r:id="rId777" w:history="1">
        <w:r>
          <w:rPr>
            <w:rFonts w:ascii="arial" w:eastAsia="arial" w:hAnsi="arial" w:cs="arial"/>
            <w:i/>
            <w:color w:val="0077CC"/>
            <w:sz w:val="20"/>
            <w:u w:val="single"/>
            <w:shd w:val="clear" w:color="auto" w:fill="FFFFFF"/>
            <w:lang w:val="en-US" w:eastAsia="en-US" w:bidi="ar-SA"/>
          </w:rPr>
          <w:t>34 Alta. L.R. (3d) 74</w:t>
        </w:r>
      </w:hyperlink>
      <w:r>
        <w:rPr>
          <w:rFonts w:ascii="arial" w:eastAsia="arial" w:hAnsi="arial" w:cs="arial"/>
          <w:color w:val="000000"/>
          <w:sz w:val="20"/>
          <w:lang w:val="en-US" w:eastAsia="en-US" w:bidi="ar-SA"/>
        </w:rPr>
        <w:t xml:space="preserve"> (Q.B.); </w:t>
      </w:r>
      <w:r>
        <w:rPr>
          <w:rFonts w:ascii="arial" w:eastAsia="arial" w:hAnsi="arial" w:cs="arial"/>
          <w:i/>
          <w:color w:val="000000"/>
          <w:sz w:val="20"/>
          <w:lang w:val="en-US" w:eastAsia="en-US" w:bidi="ar-SA"/>
        </w:rPr>
        <w:t>Jak-B-Jak Investments Inc. v. Sadowick</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2004 BCCA 201</w:t>
        </w:r>
      </w:hyperlink>
      <w:r>
        <w:rPr>
          <w:rFonts w:ascii="arial" w:eastAsia="arial" w:hAnsi="arial" w:cs="arial"/>
          <w:color w:val="000000"/>
          <w:sz w:val="20"/>
          <w:lang w:val="en-US" w:eastAsia="en-US" w:bidi="ar-SA"/>
        </w:rPr>
        <w:t xml:space="preserve">, varying </w:t>
      </w:r>
      <w:hyperlink r:id="rId779" w:history="1">
        <w:r>
          <w:rPr>
            <w:rFonts w:ascii="arial" w:eastAsia="arial" w:hAnsi="arial" w:cs="arial"/>
            <w:i/>
            <w:color w:val="0077CC"/>
            <w:sz w:val="20"/>
            <w:u w:val="single"/>
            <w:shd w:val="clear" w:color="auto" w:fill="FFFFFF"/>
            <w:lang w:val="en-US" w:eastAsia="en-US" w:bidi="ar-SA"/>
          </w:rPr>
          <w:t>2003 BCSC 1011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Wiebe v. Gunderson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2004 BCCA 456</w:t>
        </w:r>
      </w:hyperlink>
      <w:r>
        <w:rPr>
          <w:rFonts w:ascii="arial" w:eastAsia="arial" w:hAnsi="arial" w:cs="arial"/>
          <w:color w:val="000000"/>
          <w:sz w:val="20"/>
          <w:lang w:val="en-US" w:eastAsia="en-US" w:bidi="ar-SA"/>
        </w:rPr>
        <w:t xml:space="preserve">, varying </w:t>
      </w:r>
      <w:hyperlink r:id="rId781" w:history="1">
        <w:r>
          <w:rPr>
            <w:rFonts w:ascii="arial" w:eastAsia="arial" w:hAnsi="arial" w:cs="arial"/>
            <w:i/>
            <w:color w:val="0077CC"/>
            <w:sz w:val="20"/>
            <w:u w:val="single"/>
            <w:shd w:val="clear" w:color="auto" w:fill="FFFFFF"/>
            <w:lang w:val="en-US" w:eastAsia="en-US" w:bidi="ar-SA"/>
          </w:rPr>
          <w:t>2003 BCSC 1282</w:t>
        </w:r>
      </w:hyperlink>
      <w:r>
        <w:rPr>
          <w:rFonts w:ascii="arial" w:eastAsia="arial" w:hAnsi="arial" w:cs="arial"/>
          <w:color w:val="000000"/>
          <w:sz w:val="20"/>
          <w:lang w:val="en-US" w:eastAsia="en-US" w:bidi="ar-SA"/>
        </w:rPr>
        <w:t>. In such cases, successful plaintiffs are entitled to the difference between the monies paid and the actual value of the business at the time of sale, plus any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Rescission may be precluded by affirmation of the contract. For that reason, the first two misrepresentations do not give a right to rescission. Mr. Ma must reasonably have learned in the first few months after the contract was formed that there were no corporate sponsorships and that there were no agreements in place for suppliers or distributors for preferred pricing. Nonetheless, Mr. Ma continued to operate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There was no affirmation with respect to the buy-back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fact, Mr. Ma elected to void it. He contacted Mr. Thurston and invoked the buy back guarantee when he concluded the business was performing poorly in relation to his expectations in reliance on Mr. Thurston's representations. Further, the plaintiff has already left the business. Mr. Kara is currently running it on behalf of the defendants. Mr. Ma is entitled to rescission and to be restored to his former position. On that basis, the plaintiff is entitled to rescission and judgment for the amount he paid to purchase the franchise, that is, $435,093.75.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However, if I am mistaken in that conclusion and rescission is not available, then the plaintiff is only entitled to the difference between the price paid and the actual value. Therefore, I wish to address the actual value of the business at the time Mr. Ma purchased it. That entails a consideration of the value of the vending machine business without any agreements with suppliers, without sponsorship agreements and without any kind of buy back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evidence of the actual value of the business consists of the following:</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Thurston paid approximately $70,000 for the business a day after he sold it to Mr. Ma. This was comprised of roughly $20,000 for the vending machines and $50,000 for goodwill. Mr. Thurston added value to the business in the form of written agreements with the schools and his concept of expanding the business through promoting healthy snacks and beverages;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Kara pays a fee of $2,000 per month to Mr. Thurston to operate the business. That is far below what Mr. Ma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considering all of the evidence, I assess the value of the business that Mr. Ma acquired at $175,000, inclusive of equipment (i.e. the vending machines that came with the contract) and taxes. Under this alternate analysis, there would be damages for fraudulent misrepresentation in the amount of $260,093.75.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Liability of Mr. Thurston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turn to the liability of Mr. Thurston. The Franchise Agreement is between Mr. Ma and Nutriview. However, the claim for damages for misrepresentation is against both Nutriview and Mr. Thurston. The fraudulent misrepresentation was made by Mr. Thurston. In my view, Mr. Thurston is liable, along with Nutriview,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It is settled law that directors and officers of companies are personally liable for their fraudulent misrepresentations if the evidence warrants it: </w:t>
      </w:r>
      <w:r>
        <w:rPr>
          <w:rFonts w:ascii="arial" w:eastAsia="arial" w:hAnsi="arial" w:cs="arial"/>
          <w:i/>
          <w:color w:val="000000"/>
          <w:sz w:val="20"/>
          <w:lang w:val="en-US" w:eastAsia="en-US" w:bidi="ar-SA"/>
        </w:rPr>
        <w:t>Noble v. Hueson Pharmaceutical Corp.</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BCSC 1791</w:t>
        </w:r>
      </w:hyperlink>
      <w:r>
        <w:rPr>
          <w:rFonts w:ascii="arial" w:eastAsia="arial" w:hAnsi="arial" w:cs="arial"/>
          <w:color w:val="000000"/>
          <w:sz w:val="20"/>
          <w:lang w:val="en-US" w:eastAsia="en-US" w:bidi="ar-SA"/>
        </w:rPr>
        <w:t xml:space="preserve"> at para. 66. Even though Mr. Thurston is not a party to the contract, he is the sole shareholder and president of Nutriview. See </w:t>
      </w:r>
      <w:r>
        <w:rPr>
          <w:rFonts w:ascii="arial" w:eastAsia="arial" w:hAnsi="arial" w:cs="arial"/>
          <w:i/>
          <w:color w:val="000000"/>
          <w:sz w:val="20"/>
          <w:lang w:val="en-US" w:eastAsia="en-US" w:bidi="ar-SA"/>
        </w:rPr>
        <w:t>NBD Bank, Canada v. Dofasco Inc.</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(1999), 46 O.R. (3d) 514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Accordingly, I find Mr. Thurston personally liable in deceit for the same amount. Mr. Thurston and Nutriview are jointly and severally liable for the damages I have awarded. It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turn now to the counterclaim. For the reasons I have stated above, the contract was voidable and Mr. Ma elected to treat it as void when he walked away from the business in March 2011. It follows that there can be no legal basis for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However, if I am mistaken in that conclusion and the contract was in effect, I will consider the merits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Nutriview seeks damages from the plaintiff for breach of the Franchise Agreement. Nutriview says that the plaintiff breached the agreement in three respects: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plaintiff had an obligation to perform services under the agreement, namely the maintenance and/or servicing of merchandising equipment in order to meet Nutriview's obligations under its agreements with the schools (article 6.1);</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contract required the plaintiff to devote his full-time attention to the business and at all times faithfully, honestly and diligently perform, or cause to be performed, the obligations in the agreement (article 6.7); and</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there is an obligation in article 6.10 to ensure that all obligations of Nutriview under the location agreements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alleged breaches stem from failing to pay commissions and royalties to the schools. Nutriview says Mr. Ma failed to manage the business and deliver the required services when he abandoned the business in March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relevant provisions in the Franchise Agreement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Franchisee shall perform the Services in accordance with all of the terms and conditions contained in the Location Agreements and the Franchisee shall be deemed to be bound by each Location Agreement as if the Franchisee had executed the same as a party thereunder. Generally, the Franchisee will continue the Business to the same standards as has been developed by Nutriview Systems, and the Franchisee acknowledges that, to foster and preserve goodwill in the Business, it is necessary for the Franchisee to operate the Business in a manner and to a quality consistent with the manner in which the Business has been heretofore operated by Nutriview Systems or any other of its business associates, agents or previous business owners. The Franchisee acknowledges that, in order to maintain such uniformity and quality consistency, it is necessary for Nutriview Systems to exercise a degree of control over the operation of each and every franchisee, and, therefore, the Franchisee agrees to operate the Business strictly in accordance with the directions of Nutriview Systems from time to time, whether found in the Manual, or otherwise. $* $* &lt;/QL:LISTLEVEL2&gt;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Franchisee shall devote its full time and attention to the Business and at all times faithfully, honestly and diligently perform, or cause to be performed the obligations hereunder. $* $* &lt;/QL:LISTLEVEL2&gt;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Franchisee will ensure that all obligations of Nutriview Systems under any of the Location Agreements is met with respect to payment of commissions to each Location in the amounts and at the times required, and the Franchisee acknowledges that the current obligations to pay any Location under its respective Location Agreement is to ensure payment in full for any calendar month of operations of the Business under such Agreement by no later than the 10th of the following month. This payment of commissions structure may be evaluated and changed to allow Nutriview Systems to pay said locations commissions, paid for by the Franchisee to Nutriview Systems as a flow through to locations. Failure to make any such payment shall be a fundamental breach of this Agreement. $* $* &lt;/QL:LISTLEVEL2&gt;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Under this alternate analysis, I agree with the defendants that when Mr. Ma abandoned the business, he was in breach of articles 6.1, 6.7 and 6.10 of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To summarize, I have found the defendants Mr. Thurston and Nutriview engaged in fraudulent misrepresentation. Damages totalling $435,093.75 are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have concluded as well that the counterclaim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Special costs, commonly awarded when there is a fraudulent misrepresentation, are sought by the plaintiff. If the parties wish to speak to the question of costs, they may make arrangements to appear before me again within the next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Moore v. Piccioni, [2011] B.C.J. No. 944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S108304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C.C.L.T. (3d)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470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Sean Moore, Plaintiff, and Geraldine Piccioni,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28"/>
      <w:bookmarkEnd w:id="192"/>
      <w:r>
        <w:rPr>
          <w:rFonts w:ascii="arial" w:eastAsia="arial" w:hAnsi="arial" w:cs="arial"/>
          <w:b/>
          <w:color w:val="000000"/>
          <w:sz w:val="20"/>
          <w:lang w:val="en-US" w:eastAsia="en-US" w:bidi="ar-SA"/>
        </w:rPr>
        <w:t>Civil litigation — Civil procedure — Judgments and orders — Summary judgments — To dismiss action — Application by defendant, who was mother of the plaintiff, for summary judgment to dismiss action against her allowed — Plaintiff's defamation action was barred because it was commenced after the expiration of the two-year limitation period — Postponement of start of limitation period did not apply to defamation actions — Plaintiff's claim for undue influence was dismissed because independent action could not be brought based on undue influence — Claim for assertion of interest in land was dismissed as no material facts were provided to support it.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When time begins to run — Extension, interruption, suspension and inapplicability — Expiry of limitation periods — Effect of — Application by defendant, who was mother of the plaintiff, for summary judgment to dismiss action against her allowed — Plaintiff's defamation action was barred because it was commenced after the expiration of the two-year limitation period — Postponement of start of limitation period did not apply to defamation actions — Plaintiff's claim for undue influence was dismissed because independent action could not be brought based on undue influence — Claim for assertion of interest in land was dismissed as no material facts were provided to support it.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Application by defendant, who was mother of the plaintiff, for summary judgment to dismiss action against her allowed — Plaintiff's defamation action was barred because it was commenced after the expiration of the two-year limitation period — Postponement of start of limitation period did not apply to defamation actions — Plaintiff's claim for undue influence was dismissed because independent action could not be brought based on undue influence — Claim for assertion of interest in land was dismissed as no material facts were provided to support 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28"/>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Piccioni for summary judgment to dismiss the defamation action of her son Moore against her. Moore claimed that Piccioni made defamatory statements about him to his grandmother, Blakemore, and the result was that he lost her love and support and an inheritance in her will. Moore also claimed that Piccioni exerted undue influence upon Blakemore. He further claimed an interest in certain land registered in his mother's name. Blakemore died on September 11, 2010. Moore alleged that on September 23, 2010 he conducted a Wills Notice Search and he discovered that a Notice had been filed regarding Blakemore's will that was dated December 15, 2003. In the will that existed until December 15, 2003 he had been named as a beneficiary. As a result of Piccioni's slander, which occurred around the time of the new will, he was removed as a beneficiary. Piccioni claimed that the defamation claim was barred because of the expiry of the two-year limitation period. The right to bring the action arose when the statements were made in 2003 but the action was not commenced until December 2010. Moore claimed that the postponement provisions of the Limitation Act applied and the limitation period did not start to run until September 17, 2010, when he was informed that he was not a beneficiary under Blakemore's will.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24"/>
            <w:bookmarkEnd w:id="19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postponement provisions did not apply to defamation claims. The defamation claims were barred and they were dismissed. Outside of a probate action Moore could not maintain an independent action based on undue influence. That claim was dismissed for failing to allege a cause of action. The probate action that Moore commenced was the appropriate action in which to try these issues. The claim for an assertion of an interest in land was pleaded deficiently because no material facts were provided that would support this claim. Moore could not advance this claim. It could only be advanced by the estate's representative. The claims advanced by Moore were fundamentally flawed and could not be amended.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Legislation Cited_22"/>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9-5, Rule 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 s. 3(2)(c),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6" w:name="Counsel_28"/>
      <w:bookmarkEnd w:id="1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Timothy Sean Moore: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Michael R. Mark.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28"/>
      <w:bookmarkEnd w:id="197"/>
      <w:r>
        <w:pict>
          <v:line id="_x0000_s1172"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C.J. ROSS J."/>
            <w:bookmarkEnd w:id="198"/>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Timothy Moore, has commenced an action against his mother, the defendant, Geraldine Piccioni. The action alleges that Ms. Piccioni made defamatory statements concerning Mr. Moore to his grandmother, Winifred Blakemore, with the result that he lost the love and support of his grandmother and lost an inheritance in her will. He also alleges Ms. Piccioni exerted undue influence upon Ms. Blakemore. Finally, he claims an interest in certain land registered in his mother's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Piccioni applies pursuant to Rule 9-5 for an order dismissing the action on the basis that it discloses no reasonable claim and it is scandalous, frivolous and vexatious. Alternatively, she seeks an order pursuant to Rule 9(6)(4) dismissing the plaintiff's claim on the basis that there is no genuine issue for trial. Finally, she asserts the plaintiff's claims of defamation or other tort are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pleadings with respect to the alleged defamation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23, 2010, I conducted a Wills Notice Search at the BC Vital Statistics Agency and found that a Wills Notice #2003-220482 had been filed respecting the Last Will and Testament and/or Codicil of Winifred Mary Blakemore dated December 15th,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previous Will of Winifred Mary Blakemore, in effect up until December 15th, 2003, I, Timothy Sean Moore, am named as a beneficiary.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on or about December 15th, 2003, Geraldine Piccioni defamed and slandered me, Timothy Sean Moore, by making the serious accusation to my grandmother, Winifred Mary Blakemore, that I had stolen my grandmother's chattels from her apartment, and furthermore, that this accusation was known by Geraldine Piccioni to be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slanderous statements of the Defendant, Geraldine Piccioni, made on or about December 15th, 2003, caused me, Timothy Scan Moore, mental anguish, emotional distress, loss of inheritance, and the loss of the love and support of my grandmother, Winifred Mary Blakemore, for the remainder of her life and until her death on September 11, 2010, and upon her death in the absence of any knowledge of her funeral services until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submits that the claim for defamation is statute barred because of the expiry of the limitation period. Claims in defamation are subject to a two year limitation period as set out in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1996. c. 266 which provides: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 After the expiration of 2 years after the date on which the right to do so arose a person may not bring any of the following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right to bring the action arose when the defamatory statements were made. The action was commenced in December 2010, well beyond the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Moore submits that the postponement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apply and that he was not informed until September 17, 2010 that he was not a beneficiary of the will of Ms. Blakemore. He submits that it was only then that he was aware of the damage he had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for certain circumstances in which the limitation period is extended.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running of time with respect to the limitation period set by this Act for an action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(3) and (4) do not operate to the detriment of a purchaser in good faith for value.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set by this Act with respect to an action relating to a future interest in trust property does not begin to run against a beneficiary until the interest becomes a present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Knowledge that a breach caused injury, damage or loss is one of the relevant facts for purposes of extending the limitation period. However, it is well settled that the postponement provisions do not apply to claims brought in defamation, see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1999 BCCA 102</w:t>
        </w:r>
      </w:hyperlink>
      <w:r>
        <w:rPr>
          <w:rFonts w:ascii="arial" w:eastAsia="arial" w:hAnsi="arial" w:cs="arial"/>
          <w:color w:val="000000"/>
          <w:sz w:val="20"/>
          <w:lang w:val="en-US" w:eastAsia="en-US" w:bidi="ar-SA"/>
        </w:rPr>
        <w:t>. It follows that the claims in defamation are statute barred in this case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allegation with respect to undue influence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on or about December 15th, 2003, Geraldine Piccioni, exerted undue influence upon Winifred Mary Blakemore and slandered me, Timothy Sean Moore, causing my grandmother to add a codicil to her Will removing me as her beneficiary in the amount of approximately $100,000, or one third of her estate, even though she lacked the capacity to make said codicil.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Piccioni submits that outside of a probate action, the plaintiff cannot maintain an independent action based upon undue influence of a testator and allege damages that flow from such a claim. It is submitted that there is no cause of action of undue influence. Mr. Moore has filed a caveat with the probate registry asserting that the most recent will of Ms. Blakemore is invalid as it was made under conditions of undue influence. An action has been commenced seeking to have the will pronounced in solemn form and the caveat filed by Mr. Moore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agree with Ms. Piccioni's submission that there is no cause of action for undue influence. The claim brought in this proceeding is dismissed for failure to allege a cause of action. The probate action is the appropriate action in which to try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final claim asserted in the action is the assertion of an interest in land. No material facts are pleaded that would give rise to an issue in land. In oral submissions Mr. Moore clarified the claim he sought to advance. He states that his grandmother, Ms. Blakemore, had loaned money to his mother, Ms. Piccioni, to permit her to purchase land. Ms. Piccioni had not repaid the debt, thereby diminishing the estate. I agree with the submission of counsel for Ms. Piccioni that the present pleading is deficient in that no material facts capable of giving rise to an interest in land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appropriate to consider how a pleading might be amended and if any deficiencies can be rectified through amendment. Here the claim that Mr. Moore wishes to bring is not a claim that he can advance. It is a claim that could be advanced by the estate through its representative, not by Mr. Moore. Moreover, nothing in the description Mr. Moore provided of the claim in debt would give rise to an interest in land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result, all of the claims alleged in the notice of civil claim are fundamentally flawed. The application for summary judgment dismissing the claim is granted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Morriss v. Cuttler, [2010] B.C.J. No. 1808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S121068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1808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1385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Sean Morriss, Plaintiff, and Gerald Cuttler, David Rowntree, Stikeman Elliott, Calvin Patterson, 475338 B.C. Ltd., Mark Festing, Donna Festing, Prism Properties Inc., Bryce Chapman, Peter Berrang, Diane Erickson,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9"/>
      <w:bookmarkEnd w:id="199"/>
      <w:r>
        <w:rPr>
          <w:rFonts w:ascii="arial" w:eastAsia="arial" w:hAnsi="arial" w:cs="arial"/>
          <w:b/>
          <w:color w:val="000000"/>
          <w:sz w:val="20"/>
          <w:lang w:val="en-US" w:eastAsia="en-US" w:bidi="ar-SA"/>
        </w:rPr>
        <w:t>Civil litigation — Civil procedure — Judgments and orders — Summary judgments — To dismiss action — Costs — Particular orders — Special orders — For reprehensible or inefficient conduct — Unproved allegations of fraud — Estoppel — Estoppel by record (res judicata) — Cause of action — Issue estoppel — Applications by the defendants allowed — The plaintiff's action was dismissed, he required leave to initiate any legal proceeding, was to provide his residential address and special costs were awarded — The plaintiff's action sought to enforce an option agreement that was held to not exist in two previous actions involving the same defendants and property — The claims were also barred on the grounds of both issue estoppel and cause of action estoppel — The plaintiff added the defendant lawyers as parties to attempt to disqualify one of them — The plaintiff made serious allegations and his conduct was reprehensible and deserving of rebuke.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9"/>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to dismiss the plaintiff's action, for an order requiring the plaintiff require leave to initiate any legal proceeding in any court and for an order requiring the plaintiff to provide the address of his true residence. The action was the third in a series of actions commenced by the plaintiff to enforce an alleged option agreement. The plaintiff's first two actions were dismissed on the basis that no option agreement existed. The third action involved the same defendants and same property, but added certain lawyers as defendants and alleged conspiracy and fraud against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25"/>
            <w:bookmarkEnd w:id="201"/>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and claims disclosed no reasonable cause of action. The plaintiff's repeated claims, based on facts previously rejected, was an abuse of process. The plaintiff's inability to provide particulars in respect of the serious claims of fraud and conspiracy against the defendant lawyers was also an abuse of process. The plaintiff added the defendant lawyers as parties in an attempt to disqualify one of them from acting for some of the defendants. The claims against the remaining defendants, who were named defendants in the previous actions, were also barred on the grounds of both issue estoppel and cause of action estoppel. Special costs were ordered against the plaintiff. The plaintiff made serious allegations and his conduct was reprehensible and deserving of rebuke.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23"/>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 Rule 18A, Rule 19(24), Rule 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799" w:history="1">
        <w:r>
          <w:rPr>
            <w:rFonts w:ascii="arial" w:eastAsia="arial" w:hAnsi="arial" w:cs="arial"/>
            <w:i/>
            <w:color w:val="0077CC"/>
            <w:sz w:val="20"/>
            <w:u w:val="single"/>
            <w:shd w:val="clear" w:color="auto" w:fill="FFFFFF"/>
            <w:lang w:val="en-US" w:eastAsia="en-US" w:bidi="ar-SA"/>
          </w:rPr>
          <w:t>RSBC 1996, CHAPTER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29"/>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Sean Morriss.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Gerald Cuttler, David Rowntree, Stikeman Elliott and Calvin Patterson: J.G. Dives.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Prism Properties Inc., Bryce Chapman, Peter Berrang and Diane Erickson: P.C.M. Freeman,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475338 B.C. Ltd, Mark Festing and Donna Festing: G.A. Cuttler.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29"/>
      <w:bookmarkEnd w:id="204"/>
      <w:r>
        <w:pict>
          <v:line id="_x0000_s1177"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J.M. GROPPER J."/>
            <w:bookmarkEnd w:id="205"/>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four applications before me: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by the defendants Cuttler, Rowntree, Stikeman Elliott and Calvin Patterson (collectively the "lawyer defendants") to dismiss Mr. Morriss' action under Rule 19(24) with special costs;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by the defendants Prism Properties Inc., Bryce Chapman, Peter Berrang and Diane Erickson (collectively the "Prism defendants") to dismiss Mr. Morriss' action pursuant to Rules 2, 19(24) and 57(3)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that Mr. Morriss require the leave of the court to initiate any legal proceeding in any court pursuant to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special costs; and cancellation of the certificate of pending litigation filed by the plaintiff.</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by the defendants 475338 B.C. Ltd., Mark Festing and Donna Festing (the "Festing defendants") to dismiss this action pursuant to Rules 19(24) and 18A; an order pursuant to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Mr. Morriss provide forthwith the address of his true residence and verify same by affidavit; and special costs.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Morriss seeks an order that the defendants provide answers to interrogatories that he served upon them in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the third action in a series of actions commenced by Mr. Morriss to enforce an alleged option to purchase property in Whistler, British Columbia (the "property"). All three actions relate to the same facts. Mr. Morriss asserts that he has an option to purchase the property granted to him by the defendants 475338 B.C. Ltd. in August 1994. In June 2001 Prism purchased the property from 475338. Mr. Morriss alleges that between June 28 and mid July 2001, he met with Mr. Chapman, Prism's representative, and Mr. Festing, 475338's representative at the Hotel Vancouver. Mr. Morriss alleges that during the meeting Mr. Chapman agreed that Prism would be bound by the option agreement to the property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lawyer defendants sought particulars of Mr. Morriss' claim in action no. 3 in July 2009. Mr. Morriss provided particulars on August 18, 2009 (August particulars). The lawyer defendants brought an application for further and better particulars, which was heard by Mr. Justice Truscott, </w:t>
      </w:r>
      <w:r>
        <w:rPr>
          <w:rFonts w:ascii="arial" w:eastAsia="arial" w:hAnsi="arial" w:cs="arial"/>
          <w:i/>
          <w:color w:val="000000"/>
          <w:sz w:val="20"/>
          <w:lang w:val="en-US" w:eastAsia="en-US" w:bidi="ar-SA"/>
        </w:rPr>
        <w:t>Morriss v. Cuttler</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2009 BCSC 1219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Cuttler</w:t>
      </w:r>
      <w:r>
        <w:rPr>
          <w:rFonts w:ascii="arial" w:eastAsia="arial" w:hAnsi="arial" w:cs="arial"/>
          <w:color w:val="000000"/>
          <w:sz w:val="20"/>
          <w:lang w:val="en-US" w:eastAsia="en-US" w:bidi="ar-SA"/>
        </w:rPr>
        <w:t>). He found that Mr. Morriss' particulars were insufficient and ordered further particulars. He stayed the plaintiff's claim against the lawyer defendants in action no. 3 related to fraud and conspiracy until those particulars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December 2009, I heard the applications of the Festing defendants and the Prism defendants to dismiss Mr. Morriss' actions No. 1 and 2. In my reasons for judgment issued April 6, 2010, </w:t>
      </w:r>
      <w:r>
        <w:rPr>
          <w:rFonts w:ascii="arial" w:eastAsia="arial" w:hAnsi="arial" w:cs="arial"/>
          <w:i/>
          <w:color w:val="000000"/>
          <w:sz w:val="20"/>
          <w:lang w:val="en-US" w:eastAsia="en-US" w:bidi="ar-SA"/>
        </w:rPr>
        <w:t>Morriss v. Prism Properties Inc.</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2010 BCSC 454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I granted the application and dismissed Mr. Morriss' actions, cancelled the certificate of pending litigation against the property and ordered special costs to the defendants in those actions. I made certain other orders including that Mr. Morriss disclose his residential address within 15 days of the issuance of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I made the following findings: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valid and subsisting option to purchase property in Mr. Morriss' favour (at para. 48).</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Prism was a bona fide purchaser without notice and there was no option to purchase that was extended or at all; and there was no meeting as alleged by Mr. Morriss among Mr. Morriss, Mr. Chapman and Mr. Festing in June or July 2001 where Prism agreed to extend the option to purchase (at para. 64).</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conspiracy to deprive Mr. Morriss any interest in the property and the conveyance from 475338 to Prism was not fraudulent. It was a valid transfer (paras. 65 &amp; 66).</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Morriss had no option to purchase the property and he failed to provide any evidence that he was ready willing and able to complete a purchase of the property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rules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failure to comply with these rules shall be treated as an irregularity and does not nullify a proceeding, a step taken or any document or order made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Idem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where there has been a failure to comply with these rules, the court may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any step taken in the proceeding, or a document or order made in the proceeding,</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 amendment to be made under Rule 24,</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statement of defence and grant judgment,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18 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either on an issue or generally, in any of the following:</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defence has been filed;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57(3) provides for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Lawyer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Action no. 3 alleges of conspiracy and fraud against the lawyer defendants in paragraphs 30 - 33 of the statement of claim. The lawyer defendants sought particulars of Mr. Morriss'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disposition section of </w:t>
      </w:r>
      <w:r>
        <w:rPr>
          <w:rFonts w:ascii="arial" w:eastAsia="arial" w:hAnsi="arial" w:cs="arial"/>
          <w:i/>
          <w:color w:val="000000"/>
          <w:sz w:val="20"/>
          <w:lang w:val="en-US" w:eastAsia="en-US" w:bidi="ar-SA"/>
        </w:rPr>
        <w:t>Cuttler</w:t>
      </w:r>
      <w:r>
        <w:rPr>
          <w:rFonts w:ascii="arial" w:eastAsia="arial" w:hAnsi="arial" w:cs="arial"/>
          <w:color w:val="000000"/>
          <w:sz w:val="20"/>
          <w:lang w:val="en-US" w:eastAsia="en-US" w:bidi="ar-SA"/>
        </w:rPr>
        <w:t>, after reviewing the August particulars, Truscott J. required the plaintiff to provide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plaintiff will provide particulars of his interest in the lands being alleged, in terms of whether that interest is in documentary form, in oral form, or is a combination thereof, and state the full effect of the interest alleged.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plaintiff will provide particulars of the "conspiracy" in terms of particulars of any concerted action by these defendants that it is alleged was intended to injure this plaintiff, and how the plaintiff was injured by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plaintiff will provide particulars of the alleged "course of dealings" by these defendants including when this alleged course of dealings took place and what the course of dealings consisted of, how the alleged course of dealings was intended to deprive the plaintiff of his interest in the lands and how he was deprived of his interest by this course of dealings.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plaintiff will provide particulars of the alleged "course of conduct" by these defendants including what that conduct consisted of, how it was designed to injure the plaintiff and how the plaintiff was injured by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Provide particulars of the "conspiracy" in the form of the particulars required of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paras. 32 and 33, Truscott J. stayed Mr. Morriss' claims against the lawyer defendants in fraud and conspiracy until the particulars were provided. He also warned Mr. Morriss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serious matter to make allegations of fraud and conspiracy against anyone and especially professional people whose integrity is fundamental to their profession. The plaintiff should think long and hard about whether it is really necessary for him to maintain these allegations of fraud and conspiracy in order to achieve his ends, and be prepared to prove them or be subject to a severe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4, 2009, Mr. Morriss provided further particulars (September particulars). In para. 1 Mr. Morriss states that the particulars may be "subject to alteration and revision when the defendants provide full disclosure to documents or through independent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lawyer defendants assert that Mr. Morriss has failed to provide particulars in accordance with the order. Action no. 3 was brought against the lawyer defendants for an improper purpose, both as an attempt to seek the evidence of the lawyer defendants by alleging unsupportable and unsubstantiated claims of fraud and conspiracy and to seek to have Mr. Cuttler remove himself as counsel for the Festing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lawyer defendants argue that the September particulars demonstrate the same defects that Truscott J. observed in the August particulars; Mr. Morriss cannot provide particulars because they do not exist; and some of the September particulars contradict the findings that I made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lawyer defendants assert that Mr. Morriss' behaviour is high handed and reprehensible particularly having regard to the caution which Truscott J.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lawyer defendants refer to </w:t>
      </w:r>
      <w:r>
        <w:rPr>
          <w:rFonts w:ascii="arial" w:eastAsia="arial" w:hAnsi="arial" w:cs="arial"/>
          <w:i/>
          <w:color w:val="000000"/>
          <w:sz w:val="20"/>
          <w:lang w:val="en-US" w:eastAsia="en-US" w:bidi="ar-SA"/>
        </w:rPr>
        <w:t>Jensen v. Jackman</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2010 BCCA 6</w:t>
        </w:r>
      </w:hyperlink>
      <w:r>
        <w:rPr>
          <w:rFonts w:ascii="arial" w:eastAsia="arial" w:hAnsi="arial" w:cs="arial"/>
          <w:color w:val="000000"/>
          <w:sz w:val="20"/>
          <w:lang w:val="en-US" w:eastAsia="en-US" w:bidi="ar-SA"/>
        </w:rPr>
        <w:t xml:space="preserve"> were Madam Justice Garson stated,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for the Court to articulate for a litigant, from [the plaintiff's] materials, a comprehensible and legally cognizable cause of action. Pleadings must enable the court, within a reasonable time in review of the pleading, to find in those pleadings the cause of action, and the material facts upon which the cause of action is based. [The plaintiff's] proposed pleadings are an abuse of the court's process because they do not meet these minimum requirements of pleadings. In saying this, I recognize that [the plaintiff] is self-represented and may be entitled to some latitude in meeting the requirements of pleadings, but where, as here, the pleadings do not satisfy the function of pleadings at all, they are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lawyer defendants say that Mr. Morriss' pleadings require the court to ignore the findings of facts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xml:space="preserve">. They refer to </w:t>
      </w:r>
      <w:r>
        <w:rPr>
          <w:rFonts w:ascii="arial" w:eastAsia="arial" w:hAnsi="arial" w:cs="arial"/>
          <w:i/>
          <w:color w:val="000000"/>
          <w:sz w:val="20"/>
          <w:lang w:val="en-US" w:eastAsia="en-US" w:bidi="ar-SA"/>
        </w:rPr>
        <w:t>Olson (guardian ad litem of) v. Hoar,</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2009 BCCA 533</w:t>
        </w:r>
      </w:hyperlink>
      <w:r>
        <w:rPr>
          <w:rFonts w:ascii="arial" w:eastAsia="arial" w:hAnsi="arial" w:cs="arial"/>
          <w:color w:val="000000"/>
          <w:sz w:val="20"/>
          <w:lang w:val="en-US" w:eastAsia="en-US" w:bidi="ar-SA"/>
        </w:rPr>
        <w:t xml:space="preserve"> at paras. 14 to 18, where Chiasson, J. A. discusses the doctrine of abuse of process and the application of Rule 19(24)(b) in circumstances where a previously determined fact is sought to be relitigated.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lawyer defendants argue that the real purpose of adding the lawyer defendants is to try to force Mr. Cuttler off the record in all three actions and that is an improper purpose. In </w:t>
      </w:r>
      <w:r>
        <w:rPr>
          <w:rFonts w:ascii="arial" w:eastAsia="arial" w:hAnsi="arial" w:cs="arial"/>
          <w:i/>
          <w:color w:val="000000"/>
          <w:sz w:val="20"/>
          <w:lang w:val="en-US" w:eastAsia="en-US" w:bidi="ar-SA"/>
        </w:rPr>
        <w:t>Bryfogle v. School District No. 49</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2009 BCCA 256</w:t>
        </w:r>
      </w:hyperlink>
      <w:r>
        <w:rPr>
          <w:rFonts w:ascii="arial" w:eastAsia="arial" w:hAnsi="arial" w:cs="arial"/>
          <w:color w:val="000000"/>
          <w:sz w:val="20"/>
          <w:lang w:val="en-US" w:eastAsia="en-US" w:bidi="ar-SA"/>
        </w:rPr>
        <w:t>, the court determined that the plaintiff filed a statement of claim that disclosed no reasonable cause of action and did so for an improper purpose. This is an abuse of process in accordance with Rule 19(24)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lawyer defendants assert that special costs ought to be awarded to the lawyer defendants, particularly, as Truscott J. warned Mr. Morriss that he was running the risk of a "severe order for costs" if he persisted with his claims of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Morriss asserts that he filed successive legal proceedings adding new parties and pleading a more complex set of facts, as those parties and facts were revealed, which in compliance with the overall object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"secure the just, speedy and inexpensive determination of every proceeding on its merits." He says that it is not plain and obvious that his statement of claim discloses no reasonable cause of action, citing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Mr. Morriss submits that if the court assumes that all of the facts pleaded are correct then there is no doubt that he has a triable case. He says that he has not acted out of a vexatious motive against any of the defendants but has acted only to obtain and secure his "alleged interest in lands which are the subject matter of this proceeding". His allegations are relevant to the claim and should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Morriss argues that there is nothing in the lawyer defendants' material suggesting that the proceedings "may prejudice, embarrass or delay the fair trial or hearing or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Morriss says that his third action does not constitute an abuse of process. He says that my dismissal of actions no. 1 and 2 were not a result of a "full and fair investigation" of the matters in issue. Mr. Morriss says he was denied the opportunity to fully and fairly investigate the matters through discovery and through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Morriss asserts that the lawyer defendants have consistently refused to produce an executed copy of the option to purchase and their assertion that it never existed, demonstrates that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settlement agreement that underpins Festing's entitlement of the lands was not a contract at law and the land should never have been transferred to 475338 B.C. Ltd. unless there was some other agreement between the plaintiff and Festing.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Morriss continues to assert that Mr. Cuttler should not be acting as legal counsel for a party in a case where he is also a party. He asserts that the court should not protect lawyers who "engage in sharp practice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oral submissions, Mr. Morriss says that if the lawyer defendants answer his interrogatories he "might let the defendants out". He says that he was cheated and he has some facts to prove it but there are "handcuffs on my hands". He says "I am like a junkyard dog who gets his bone stolen."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Morriss persists in pursuing his claim to the property in spite of my explicit findings that he does not have an option to purchase the property, there was no "extension" of the option, and Prism is a bona fide purchaser for value of the property. It cannot be assumed that the facts alleged in the statement of claim in action no. 3 are true and can be proven. They are not true, and cannot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purpose in Mr. Morriss relitigating this matter and his attempt to do so is an abuse of the court's process. His claims in action no. 3, like those in actions no. 1 and 2, involve the same defendants, the same property and are based on the same nonexistent option. Unique to action no. 3, is Mr. Morriss' claim of a conspiracy among the defendants, including the lawyer defendants, to fraudulently deprive or cheat him of his interest in the land pursuant to the security agreement (the option). As I have found, Mr. Morriss did not have an interest in the property and therefore his allegation that he has been fraudulently deprived or cheated out of his interest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Cuttler</w:t>
      </w:r>
      <w:r>
        <w:rPr>
          <w:rFonts w:ascii="arial" w:eastAsia="arial" w:hAnsi="arial" w:cs="arial"/>
          <w:color w:val="000000"/>
          <w:sz w:val="20"/>
          <w:lang w:val="en-US" w:eastAsia="en-US" w:bidi="ar-SA"/>
        </w:rPr>
        <w:t xml:space="preserve">, Mr. Justice Truscott reviews and reproduces the August particulars at para. 3. The September particulars are a reiteration. In both, Mr. Morriss continues to assert that he has an interest in the property pursuant to the option provided to him by the Festing defendants in 1994. He raises matters that were addressed in </w:t>
      </w:r>
      <w:r>
        <w:rPr>
          <w:rFonts w:ascii="arial" w:eastAsia="arial" w:hAnsi="arial" w:cs="arial"/>
          <w:i/>
          <w:color w:val="000000"/>
          <w:sz w:val="20"/>
          <w:lang w:val="en-US" w:eastAsia="en-US" w:bidi="ar-SA"/>
        </w:rPr>
        <w:t>Hydro Fuels Inc. v. Mid-Pacific Services Inc.</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[1998] B.C.J. No. 2025</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81 A.C.W.S. (3d) 1032</w:t>
        </w:r>
      </w:hyperlink>
      <w:r>
        <w:rPr>
          <w:rFonts w:ascii="arial" w:eastAsia="arial" w:hAnsi="arial" w:cs="arial"/>
          <w:color w:val="000000"/>
          <w:sz w:val="20"/>
          <w:lang w:val="en-US" w:eastAsia="en-US" w:bidi="ar-SA"/>
        </w:rPr>
        <w:t>. The particulars describe Mr. Morriss' view of a conspiracy, but they do not describe a course of conduct nor do they explain how the lawyer defendants got together, and whether their actions were lawful or intended to cause injury to Mr. Morriss. Some of the particulars provided are unintelligible and do not appear to relate to the matters in issue in action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Morriss' pleadings and claims in action no. 3 cannot stand. They disclose no reasonable claim. The essence of Mr. Morriss' position continues to be that an option exists in his favour provided to him by Mr. Festing in respect of the property. There is no option. That is sufficient to dispose of Mr. Morriss' action. The fact that Mr. Morriss has commenced three actions against the Festing defendants and the Prism defendants, and has added their counsel in action no. 3 amply demonstrates that this action is unnecessary scandalous frivolous and vexatious. Finally, Mr. Morriss' repeated claims, based on facts that I have explicitly rejected,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Similarly, Mr. Morriss' inability to provide particulars in respect of his very serious claims of fraud and conspiracy against the lawyer defendants is an abuse of process. His September particulars do not address what </w:t>
      </w:r>
      <w:r>
        <w:rPr>
          <w:rFonts w:ascii="arial" w:eastAsia="arial" w:hAnsi="arial" w:cs="arial"/>
          <w:i/>
          <w:color w:val="000000"/>
          <w:sz w:val="20"/>
          <w:lang w:val="en-US" w:eastAsia="en-US" w:bidi="ar-SA"/>
        </w:rPr>
        <w:t>Cuttler</w:t>
      </w:r>
      <w:r>
        <w:rPr>
          <w:rFonts w:ascii="arial" w:eastAsia="arial" w:hAnsi="arial" w:cs="arial"/>
          <w:color w:val="000000"/>
          <w:sz w:val="20"/>
          <w:lang w:val="en-US" w:eastAsia="en-US" w:bidi="ar-SA"/>
        </w:rPr>
        <w:t xml:space="preserve"> specifically requires him to address. Those claims also rest on the existence of an option to purchase the property, which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lawyer defendants' application is granted. Mr. Morriss' action no. 3 is dismissed against the lawyer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Prism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Prism defendants seek to dismiss Mr. Morriss' action no. 3 on the basis that the allegations against the Prism defendants are the same as those advanced in actions no. 1 and 2. The Prism defendants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 Morriss contends that he was granted an interest in property which he variously described as an option or other interest. Central to each of the first, second and third actions are common underlying facts including: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Morriss had an option or other interest in the property;</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Prism acquired the property with full knowledge of the Morriss option or other interest in the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Morriss, Festing and Chapman met in July at the Hotel Vancouver in Vancouver, B.C. and discussed the Morriss interest in the property and Prism, through its director Chapman agreed to honour the Morriss option and other interest in the property;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Prism was not a bona fide purchaser for value of the properties;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Prism wrongfully refused Morriss' attempts to exercise his purported option to purchase the property;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Prism in concert with others conspired to deprive the plaintiff Morriss of his purported option or other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Prism defendants assert that my findings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xml:space="preserve"> are pertinent and determinative of all the issues identified in action no. 3. The Prism defendants assert that on that basis, the plaintiff's third action should be dismissed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Prism defendants also assert that Mr. Morriss' current claims against them are barred on the grounds of both issue estoppel and cause of action estoppel. His third action is brought for an improper purpose and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Morriss repeats his position that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xml:space="preserve"> was not tried on its merits, "fully and fairly". He asserts that he has been denied his right to full discovery by interrogatories and that he abandoned actions no. 1 and 2 in order to pursue action no. 3.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this reason, it is pure </w:t>
      </w:r>
      <w:r>
        <w:rPr>
          <w:rFonts w:ascii="arial" w:eastAsia="arial" w:hAnsi="arial" w:cs="arial"/>
          <w:b/>
          <w:color w:val="000000"/>
          <w:sz w:val="20"/>
          <w:lang w:val="en-US" w:eastAsia="en-US" w:bidi="ar-SA"/>
        </w:rPr>
        <w:t>sophistry</w:t>
      </w:r>
      <w:r>
        <w:rPr>
          <w:rFonts w:ascii="arial" w:eastAsia="arial" w:hAnsi="arial" w:cs="arial"/>
          <w:color w:val="000000"/>
          <w:sz w:val="20"/>
          <w:lang w:val="en-US" w:eastAsia="en-US" w:bidi="ar-SA"/>
        </w:rPr>
        <w:t xml:space="preserve"> on the part of Mr. Freeman to argue, as he does in paragraphs 8, 9, and 10 of his Outline, that the doctrines of </w:t>
      </w:r>
      <w:r>
        <w:rPr>
          <w:rFonts w:ascii="arial" w:eastAsia="arial" w:hAnsi="arial" w:cs="arial"/>
          <w:b/>
          <w:i/>
          <w:color w:val="000000"/>
          <w:sz w:val="20"/>
          <w:lang w:val="en-US" w:eastAsia="en-US" w:bidi="ar-SA"/>
        </w:rPr>
        <w:t>issue estoppel cause of action estoppel</w:t>
      </w:r>
      <w:r>
        <w:rPr>
          <w:rFonts w:ascii="arial" w:eastAsia="arial" w:hAnsi="arial" w:cs="arial"/>
          <w:b/>
          <w:color w:val="000000"/>
          <w:sz w:val="20"/>
          <w:lang w:val="en-US" w:eastAsia="en-US" w:bidi="ar-SA"/>
        </w:rPr>
        <w:t xml:space="preserve"> or</w:t>
      </w:r>
      <w:r>
        <w:rPr>
          <w:rFonts w:ascii="arial" w:eastAsia="arial" w:hAnsi="arial" w:cs="arial"/>
          <w:b/>
          <w:i/>
          <w:color w:val="000000"/>
          <w:sz w:val="20"/>
          <w:lang w:val="en-US" w:eastAsia="en-US" w:bidi="ar-SA"/>
        </w:rPr>
        <w:t xml:space="preserve"> res judicata</w:t>
      </w:r>
      <w:r>
        <w:rPr>
          <w:rFonts w:ascii="arial" w:eastAsia="arial" w:hAnsi="arial" w:cs="arial"/>
          <w:color w:val="000000"/>
          <w:sz w:val="20"/>
          <w:lang w:val="en-US" w:eastAsia="en-US" w:bidi="ar-SA"/>
        </w:rPr>
        <w:t xml:space="preserve"> arise in the context of [action number 3 as a result of the decision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Sophism = a deliberately invalid argument displaying ingenuity and reasoning in the hope of deceiving someone.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that basis, Mr. Morriss asserts that the Prism defendants' arguments are without merit and "must be rejected as a dishonest distortion" of what took place in actions no.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Morriss says that in action no. 3 he is claiming that the Prism defendants participated in a fraudulent conspiracy to cheat him of his property. If a fraud is found, then "it is so fundamental that no case law need to be cited. </w:t>
      </w:r>
      <w:r>
        <w:rPr>
          <w:rFonts w:ascii="arial" w:eastAsia="arial" w:hAnsi="arial" w:cs="arial"/>
          <w:b/>
          <w:i/>
          <w:color w:val="000000"/>
          <w:sz w:val="20"/>
          <w:lang w:val="en-US" w:eastAsia="en-US" w:bidi="ar-SA"/>
        </w:rPr>
        <w:t>Fraud vitiates everything it touches</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Morriss asserts that the reason the defendants and their lawyers do not wish to answer interrogatories is that they would have to admit that they were part of the conspiracy to cheat him of his interest in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 reasons that I provided in respect of the application by the lawyer defendants, Mr. Morriss' claims against the Prism defendants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also agree with the Prism defendants that Mr. Morriss' action no. 3 is barred on the grounds of both issue estoppel and cause of action estoppel. Issue estoppel applies subject to three preconditions: the same question has been decided; the judicial decision that is said to create the estoppel was final and the party to the judicial decision is the same person as the parties to the proceedings in which the estoppel is raised: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Cause of action estoppel applies where subsequent actions arise out of the same relationship or the same subject matter as the adjudicated action, although based on a different legal conception of the relationship between the parties: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[1980] B.C.J. No. 2</w:t>
        </w:r>
      </w:hyperlink>
      <w:r>
        <w:rPr>
          <w:rFonts w:ascii="arial" w:eastAsia="arial" w:hAnsi="arial" w:cs="arial"/>
          <w:color w:val="000000"/>
          <w:sz w:val="20"/>
          <w:lang w:val="en-US" w:eastAsia="en-US" w:bidi="ar-SA"/>
        </w:rPr>
        <w:t xml:space="preserve"> (C.A.)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test for striking an action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whether it's plain and obvious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The burden is on the applicant to establish the applicability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World Wide Treasure Adventures Inc. v. Trivia Games Inc.</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(C.A.)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Prism defendants assert there is no conspiracy or fraud to deprive Mr. Morriss of an interest that he does not have. I have found that Mr. Morriss does not have an option or other interest in the property; that Prism was a bona fide purchaser, without notice of Mr. Morriss' alleged option or other interest in the property for value; that Prism has not refused Mr. Morriss' attempts to exercise his purported option because he has no option to purchase the property. Consistent with those findings is that the Prism defendants did not conspire to deprive Mr. Morriss of his purported option or other interest in the property because he has no option or other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Further, this is a clear case of the application of issue estoppel. All three actions engage the same question, my decision in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 xml:space="preserve"> is final. The Prism defendants are also parties to actions no. 1 and 2 as well as this action. Cause of action estoppel also applies, as Mr. Morriss' action no. 3 arises out of the same relationship, and the same subject matter as actions no. 1 and 2. It is also plain and obvious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Action No. 3 against the Prism defendants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Festing defendants also applied to dismiss the action pursuant to Rules 19(24) and Rule 18A. For the reasons that I have expressed in relation to the applications of the lawyer defendants and the Prism defendants, this action is an abuse of process. The Festing defendants refer to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where the court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Festing Defendants seek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Morriss' manoeuvres meet all of the descriptions referred to in </w:t>
      </w:r>
      <w:r>
        <w:rPr>
          <w:rFonts w:ascii="arial" w:eastAsia="arial" w:hAnsi="arial" w:cs="arial"/>
          <w:i/>
          <w:color w:val="000000"/>
          <w:sz w:val="20"/>
          <w:lang w:val="en-US" w:eastAsia="en-US" w:bidi="ar-SA"/>
        </w:rPr>
        <w:t>Babavic</w:t>
      </w:r>
      <w:r>
        <w:rPr>
          <w:rFonts w:ascii="arial" w:eastAsia="arial" w:hAnsi="arial" w:cs="arial"/>
          <w:color w:val="000000"/>
          <w:sz w:val="20"/>
          <w:lang w:val="en-US" w:eastAsia="en-US" w:bidi="ar-SA"/>
        </w:rPr>
        <w:t>. Mr. Morriss is relying on an alleged option to purchase the property which I have already determined does not exist and is therefore a "mere sham"; he has admitted that his purpose is to get Mr. Cuttler off the case, which is an improper purpose; and he has launched multiple and successive proceedings with the same parties in respect of the same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I have already observed, Mr. Morriss' claims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subject to issue estoppel. Further, as I have explained, the claims which Mr. Morriss makes against the Festing defendants in action no. 3 do not have a factual or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Festing defendants also apply to dismiss Mr. Morriss' third action under Rule 18A. I have already determined that the factual and legal basis of Mr. Morriss' claim in action no. 3 are without foundation. The action is therefore dismissed pursuant to Rule 18A, as well as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18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Vexatious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(Public Trustee) v. McGreal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[1993] B.C.J. No. 873</w:t>
        </w:r>
      </w:hyperlink>
      <w:r>
        <w:rPr>
          <w:rFonts w:ascii="arial" w:eastAsia="arial" w:hAnsi="arial" w:cs="arial"/>
          <w:color w:val="000000"/>
          <w:sz w:val="20"/>
          <w:lang w:val="en-US" w:eastAsia="en-US" w:bidi="ar-SA"/>
        </w:rPr>
        <w:t xml:space="preserve">, the court adopted the principles addressed by Henry J. in </w:t>
      </w:r>
      <w:r>
        <w:rPr>
          <w:rFonts w:ascii="arial" w:eastAsia="arial" w:hAnsi="arial" w:cs="arial"/>
          <w:i/>
          <w:color w:val="000000"/>
          <w:sz w:val="20"/>
          <w:lang w:val="en-US" w:eastAsia="en-US" w:bidi="ar-SA"/>
        </w:rPr>
        <w:t>Lang Michener Lash Johnston v. Fabian</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general characteristic of vexatious proceedings that grounds and issues raised tend to be rolled forward into subsequent actions and repeated and supplemented, often with actions brought against lawyers who have acted for or against the litigant in earlier proceedings.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McGreal</w:t>
      </w:r>
      <w:r>
        <w:rPr>
          <w:rFonts w:ascii="arial" w:eastAsia="arial" w:hAnsi="arial" w:cs="arial"/>
          <w:color w:val="000000"/>
          <w:sz w:val="20"/>
          <w:lang w:val="en-US" w:eastAsia="en-US" w:bidi="ar-SA"/>
        </w:rPr>
        <w:t xml:space="preserve"> cautions that the jurisdiction must be exercised with great caution because its effect is to deprive the plaintiff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Morriss' conduct in this case meets all the principles outlined. He has brought three actions concerning the same subject matter; the first two actions have been dismissed and this action obviously cannot succeed, he has brought the actions for an improper purpose including an attempt to disqualify Mr. Cuttler from acting for the Festing defendants; to get "his property back", although he has no interest in the property; his actions share the "general characteristic of vexatious pleadings" in that the issues are rolled forward; the claims are repeated and supplemented; and he has brought his third action against the lawyers who have represented the Prism and the Festing defendants; I awarded the Prism defendants and the Festing defendants special costs in actions no. 1 and 2, which have not been paid by Mr. Morriss; and Mr. Morriss has persistently taken unsuccessful appeals from judicial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time to end Mr. Morriss' repeated and vexatious proceedings. It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True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ordered Mr. Morriss to provide his true address, he has provided an address, but it is not the address of his residence. His residential address is required in order that the defendants and the court can ensure that Mr. Morriss abides by orders and pays the costs which have been awarded against him. I reiterate my order that Mr. Morriss provide his true residential address and verify this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Section 19(24) specifically provides that special costs are at the discretion of the court. I addressed the application of special costs in paras. 83 to 86 of </w:t>
      </w:r>
      <w:r>
        <w:rPr>
          <w:rFonts w:ascii="arial" w:eastAsia="arial" w:hAnsi="arial" w:cs="arial"/>
          <w:i/>
          <w:color w:val="000000"/>
          <w:sz w:val="20"/>
          <w:lang w:val="en-US" w:eastAsia="en-US" w:bidi="ar-SA"/>
        </w:rPr>
        <w:t>Prism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Special costs are awarded in cases where the conduct of the one of the parties is "reprehensible".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In addition to his pursuit of unmeritorious claims, Mr. Morriss has been unable to produce any evidence to support his claim. He has accused all the defendants of conspiracy and fraud without any foundation whatsoever. Both of these factors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the reasons I gave in ordering special costs against Mr. Morriss in actions no. 1 or 2, I make the same order in respect of costs in this action. Mr. Morriss was warned by Mr. Justice Truscott that he made serious allegations against all the defendants in this proceeding and his conduct is reprehensible and deserving of rebuke. Mr. Morriss must learn if he has not already, that bringing new actions and persisting with those that are vexatious have significant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Morriss' action no. 3 is dismissed against all the defendants. The defendants are awarded special costs.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Morriss must not, without leave of the court, initiate legal proceedings in any court.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Morriss is ordered to provide his true residential address and verify this by affidavit.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grant leave to the defendants to apply for directions and further orders regarding costs, including that the court summarily assess costs against Mr. Morriss.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Park v. Koepke, [2013] B.C.J. No. 2159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K.S. Sainty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M125534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2159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1806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Duk Hwa Park, Plaintiff, and Ashley N. Koepke, Tomas A. Mauro, Westminster Presbyterian Church and Man S. Han,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30"/>
      <w:bookmarkEnd w:id="206"/>
      <w:r>
        <w:rPr>
          <w:rFonts w:ascii="arial" w:eastAsia="arial" w:hAnsi="arial" w:cs="arial"/>
          <w:b/>
          <w:color w:val="000000"/>
          <w:sz w:val="20"/>
          <w:lang w:val="en-US" w:eastAsia="en-US" w:bidi="ar-SA"/>
        </w:rPr>
        <w:t>Civil litigation — Civil procedure — Costs — Particular items — Disbursements — Determination of the plaintiff Park's disbursements — Park commenced an action for damages for personal injuries sustained in a motor vehicle accident — The action settled for $13,500 plus disbursements — Only one of three medical reports obtained was necessary or proper — It was necessary for Park to employ an interpreter as her English was minimal — However, the amount charged by the interpreter was too much — Accordingly, some of the disbursements claimed were allowed while others were disallowed or reduced — Supreme Court Civil Rules, Rule 14-1(5).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Costs — Determination of the plaintiff Park's disbursements — Park commenced an action for damages for personal injuries sustained in a motor vehicle accident — The action settled for $13,500 plus disbursements — Only one of three medical reports obtained was necessary or proper — It was necessary for Park to employ an interpreter as her English was minimal — However, the amount charged by the interpreter was too much — Accordingly, some of the disbursements claimed were allowed while others were disallowed or reduced — Supreme Court Civil Rules, Rule 14-1(5).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Compensation — Fees and disbursements — Determination of the plaintiff Park's disbursements — Park commenced an action for damages for personal injuries sustained in a motor vehicle accident — The action settled for $13,500 plus disbursements — Only one of three medical reports obtained was necessary or proper — It was necessary for Park to employ an interpreter as her English was minimal — However, the amount charged by the interpreter was too much — Accordingly, some of the disbursements claimed were allowed while others were disallowed or reduced — Supreme Court Civil Rules, Rule 14-1(5).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Remuneration — Professions — Legal — Barristers and solicitors — Determination of the plaintiff Park's disbursements — Park commenced an action for damages for personal injuries sustained in a motor vehicle accident — The action settled for $13,500 plus disbursements — Only one of three medical reports obtained was necessary or proper — It was necessary for Park to employ an interpreter as her English was minimal — However, the amount charged by the interpreter was too much — Accordingly, some of the disbursements claimed were allowed while others were disallowed or reduced — Supreme Court Civil Rules, Rule 14-1(5).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30"/>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the plaintiff Park's disbursements. Park commenced an action for damages for personal injuries sustained in a motor vehicle accident. The defendants made an initial formal offer to settle for $5500 and later increased that offer to $10,500. Park made her own offer to settle for $18,500. The action settled for $13,500 plus disbursements. However, the parties were unable to agree on the disbursements.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6"/>
            <w:bookmarkEnd w:id="208"/>
            <w:r>
              <w:rPr>
                <w:rFonts w:ascii="arial" w:eastAsia="arial" w:hAnsi="arial" w:cs="arial"/>
                <w:color w:val="000000"/>
                <w:sz w:val="20"/>
                <w:lang w:val="en-US" w:eastAsia="en-US" w:bidi="ar-SA"/>
              </w:rPr>
              <w:t>HELD: Some of the disbursements claimed were allowed while others were disallowed or reduced.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example, only one of three medical reports obtained was necessary or proper. Local transportation office supplies were considered items of overhead and were not allowed. It was necessary for Park to employ an interpreter as her English was minimal. However, the amount charged by the interpreter was too much.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Legislation Cited_24"/>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11-6, Rule 14-1(5), Rule 15-1, Rule 15-1(13)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0" w:name="Counsel_30"/>
      <w:bookmarkEnd w:id="2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D.S.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Ferguson.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30"/>
      <w:bookmarkEnd w:id="211"/>
      <w:r>
        <w:pict>
          <v:line id="_x0000_s1182" style="position:absolute;z-index:2518435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8, 2013;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REGISTRAR K.S. SAINTY_0"/>
            <w:bookmarkEnd w:id="212"/>
            <w:r>
              <w:rPr>
                <w:rFonts w:ascii="arial" w:eastAsia="arial" w:hAnsi="arial" w:cs="arial"/>
                <w:b/>
                <w:color w:val="000000"/>
                <w:sz w:val="30"/>
                <w:lang w:val="en-US" w:eastAsia="en-US" w:bidi="ar-SA"/>
              </w:rPr>
              <w:t>REGISTRAR K.S. SAINTY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assessment of the plaintiff's disbursements arises after settlement of this action commenced by the plaintiff for damages following a motor vehicle accident on December 22, 2010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complained of injuries to her neck, back, shoulders, arms, hands and hips as well as dizziness, headaches, fatigue, anxiety and depression. The plaintiff retained counsel (Ms. Orr) in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was commenced on September 11, 2012 and initially named five defendants. A Notice of Discontinuance was filed (on October 13, 2012) against the fifth defendant to obtain an admission of liability from the remaining defendants for the Accident. A response to civil claim was filed October 19, 2012 in which liability was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action was put into "Fast Track" by the defense who provided a notice of fast track action dated November 21, 2012. Per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where an action is in "fast track", a trial date must be set within four months of the date on which either party makes an application for a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Orr deposed that, because of the time constraints for provision of expert reports set out in Rule 11-6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(84 days before the trial), Ms. Orr requested reports from the plaintiff's general practitioner and chiropractor, as well as Dr. O'Conner, a physiatrist, shortly after the case was put into fast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made an initial formal offer to settle (of $5,500). That offer was later increased to $10,500 after Mr. Ferguson, counsel for the defendants, received Dr. O'Connor's report. The plaintiff made her own offer to settle (for $18,500) and, in February 2013, the action settled for the sum of $13,500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the parties were unable to agree on the disbursements, this assessment was set. Apparently until the parties appeared before me, the defendants had not particularised the specific disbursements disputed. They simply advised that "all disbursements" were in dispute. Mr. Ferguson told me in his submissions that his client was of the view that it was simply out of proportion to seek $11,000 in disbursements on a claim that settled for $13,500. Further he said that, in his experience, in like cases (where the claim is within the jurisdiction of the small claims court, the plaintiff's symptoms have been largely resolved and where only two heads of damage (non-pecuniary damages and past wage loss) are claimed), typically, disbursements are in the $1,000 to $2,000 range; not almost the amount of the claim itself. He reminded me that the case was put into fast track by consent and thus he says plaintiff's counsel knew (or ought to have known) that the damages amount would not be significant and further that the case was not complex and would likely require 3 days or less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Disbursements Agreed to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hearing, the defendants conceded the following disbursements: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3" type="#_x0000_t75" style="width:321.6pt;height:214.2pt">
            <v:imagedata r:id="rId816" o:title=""/>
          </v:shape>
        </w:pict>
      </w:r>
      <w:r>
        <w:rPr>
          <w:rFonts w:ascii="arial" w:eastAsia="arial" w:hAnsi="arial" w:cs="arial"/>
          <w:sz w:val="20"/>
          <w:lang w:val="en-US" w:eastAsia="en-US" w:bidi="ar-SA"/>
        </w:rPr>
        <w:t xml:space="preserve">  </w:t>
      </w:r>
      <w:r>
        <w:pict>
          <v:shape id="_x0000_i1184" type="#_x0000_t75" style="width:321pt;height:142.2pt">
            <v:imagedata r:id="rId817"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Disbursements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 The Part 7 (Insurance (Vehicle) Act)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submit that a number of the disbursements claimed were in relation to the Part 7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action commenced by the plaintiff contemporaneously with this tort action and that, as the settlement related only to the tort action, the plaintiff ought not to be entitled to claim disbursements incurred in relation to the Part 7 action in this one. In making this argument, the defendants relied on the decision of Master Shaw, as Registrar (as she then was) in </w:t>
      </w:r>
      <w:r>
        <w:rPr>
          <w:rFonts w:ascii="arial" w:eastAsia="arial" w:hAnsi="arial" w:cs="arial"/>
          <w:i/>
          <w:color w:val="000000"/>
          <w:sz w:val="20"/>
          <w:lang w:val="en-US" w:eastAsia="en-US" w:bidi="ar-SA"/>
        </w:rPr>
        <w:t>Smagh v. Bumbrah</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2010 BCSC 988</w:t>
        </w:r>
      </w:hyperlink>
      <w:r>
        <w:rPr>
          <w:rFonts w:ascii="arial" w:eastAsia="arial" w:hAnsi="arial" w:cs="arial"/>
          <w:color w:val="000000"/>
          <w:sz w:val="20"/>
          <w:lang w:val="en-US" w:eastAsia="en-US" w:bidi="ar-SA"/>
        </w:rPr>
        <w:t>. In that decision, Her Honour simply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plaintiff argues the work the engineer did would be for Part 7 purposes and not the tort claim, and as this is the assessment for the tort trial the expense should not be 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disbursement was presented by the defendant as a disbursement in relation to the tort trial. There was no evidence to support the submissions of the plaintiff that the report of the engineer was used for the Part 7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Based on the evidence, I do not accept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basis of that decision, Mr. Ferguson submitted that, absent evidence that a particular item related to the tort claim (and not simply the Part 7 claim) I ought to disallow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do not agree. In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1751</w:t>
        </w:r>
      </w:hyperlink>
      <w:r>
        <w:rPr>
          <w:rFonts w:ascii="arial" w:eastAsia="arial" w:hAnsi="arial" w:cs="arial"/>
          <w:color w:val="000000"/>
          <w:sz w:val="20"/>
          <w:lang w:val="en-US" w:eastAsia="en-US" w:bidi="ar-SA"/>
        </w:rPr>
        <w:t>, Master Young, as Registrar, when faced with a similar argument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next disbursement that is being challenged is $218 to the Kelowna court registry to file the writ of summons for a Part VII benefit claim. It is reasonable to file a Part VII writ, and in this case, the issue of s. 25 deductions became an issue not only at the trial but resulted in a successful appeal by the plaintiff. The question, however, is whether this disbursement should be allowed in this action or whether the plaintiff should be required to wait until he taxes a bill of costs in the Part VII action. The problem with the latter argument is that Part VII actions are usually commenced just to meet a limitation period. Rarely are there any litigation activities in the Part VII action itself. The plaintiff is being told that she should be put to the extra expense of taxing a Part VII bill of costs separate from the tort action. It is my view that this is an unreasonable excessive procedure where no steps have been taken the Part VII action. The plaintiff is entitled to reimbursement for this disbursement.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defendant's argument is that the Part VII action was not necessary to commence. I disagree with this submission. If this Part VII claim had not been commenced and the limitation period had expired, the plaintiff would not have had recourse against the insurance company for medical expenses if the medical insurance company refused to pay those expenses. The only question is whether it is reasonable to add this as a disbursement in the tort action. I find that it is, in situations where there will be no other litigation in the Part VII action. Where the filing fee is the sole disbursement in the Part VII action, it seems reasonable to me to consolidate the two bills of cost and conduct one review to avoid multiplicity of proceedings and extra costs to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Here, Mr. Stewart advised that the Part 7 claim was filed to preserve the plaintiff's rights under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to seek (and be reimbursed for) treatment directly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my view, the Part 7 action was a necessary adjunct to this litigation;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but for the defendants actions which caused the Accident, the plaintiff would not have had to commence the Part 7 action to preserve her rights. Accordingly, I will award the plaintiff her disbursements associated with that action being: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5" type="#_x0000_t75" style="width:321.6pt;height:175.8pt">
            <v:imagedata r:id="rId82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B. The Medical-Legal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next disputed disbursements are those associated with the three medical-legal reports commissioned and received: (a) Dr. Juan Kim - $1,085.50; (b) Dr. Scott Park - $1,000; and (c) Dr. O'Connor - $3,800.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Juan Kim is the plaintiff's family doctor. Dr. Scott Park (no relation) was the plaintiff's treating chiropractor and Dr. O'Connor is a physiatrist who was retained to provide an independent medical assessment of the plaintiff as regards his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say that this case could have (and should have) been resolved on the basis of the clinical records alone. There was no need for the plaintiff to obtain full blown medical-legal reports from her general practitioner and chiropractor and further it was neither necessary nor proper to engage a physiatrist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Rule 14-1(5)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assessing costs under subrule (2) or (3) of this rule, a registrar must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disbursements have been necessarily or properly incurred in the conduct of the proceeding,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the registrar must consider two things in deciding whether to allow or disallow a party's claim for a disbursement: firstly, she must decide if the disbursement was necessary or proper; and, assuming the disbursement was either necessary or proper, she must decide if the amount claimed for such disbursement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determination of whether a disbursement was necessary or proper is to be made at the time the disbursement was incurred: </w:t>
      </w:r>
      <w:r>
        <w:rPr>
          <w:rFonts w:ascii="arial" w:eastAsia="arial" w:hAnsi="arial" w:cs="arial"/>
          <w:i/>
          <w:color w:val="000000"/>
          <w:sz w:val="20"/>
          <w:lang w:val="en-US" w:eastAsia="en-US" w:bidi="ar-SA"/>
        </w:rPr>
        <w:t>Van Deale v. Van Deale</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(1983), 56 B.C.L.R. 176</w:t>
        </w:r>
      </w:hyperlink>
      <w:r>
        <w:rPr>
          <w:rFonts w:ascii="arial" w:eastAsia="arial" w:hAnsi="arial" w:cs="arial"/>
          <w:color w:val="000000"/>
          <w:sz w:val="20"/>
          <w:lang w:val="en-US" w:eastAsia="en-US" w:bidi="ar-SA"/>
        </w:rPr>
        <w:t xml:space="preserve"> (C.A.)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a difference between a disbursement that is necessary and one that is proper in the sense that necessary disbursements are essential disbursements which means that they are outlays that could not be avoided in the conduct of the proceeding; whereas proper disbursements are those reasonably incurred in the conduct of the proceeding, but which may have been strictly speaking avoidable: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xml:space="preserve"> (Registrar); and </w:t>
      </w:r>
      <w:r>
        <w:rPr>
          <w:rFonts w:ascii="arial" w:eastAsia="arial" w:hAnsi="arial" w:cs="arial"/>
          <w:i/>
          <w:color w:val="000000"/>
          <w:sz w:val="20"/>
          <w:lang w:val="en-US" w:eastAsia="en-US" w:bidi="ar-SA"/>
        </w:rPr>
        <w:t>McKenna v. Anderson</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2005 BCSC 84</w:t>
        </w:r>
      </w:hyperlink>
      <w:r>
        <w:rPr>
          <w:rFonts w:ascii="arial" w:eastAsia="arial" w:hAnsi="arial" w:cs="arial"/>
          <w:color w:val="000000"/>
          <w:sz w:val="20"/>
          <w:lang w:val="en-US" w:eastAsia="en-US" w:bidi="ar-SA"/>
        </w:rPr>
        <w:t xml:space="preserv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considering the "reasonableness" of a disbursement, a registrar should consider "all of the circumstances" and should disallow disbursements she believes "to have been incurred or increased through extravagance,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by payment of unjustified charges or expenses":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at paras 20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cannot accede to the defendants' submission that it was not necessary or proper to obtain a report from the plaintiff's general practitioner. In my view, that report was an essential element of the plaintiff's case. While perhaps not strictly "necessary"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unavoidable), it was certainly "proper" for counsel to request an opinion from the plaintiff's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Kim's medical-legal report sets out the history of the Accident and then describes the plaintiff's medical history, her injuries and treatment. It concludes with his opinion and outlines the plaintiff's expected prognosis. In it, Dr. Kim confirms that the plaintiff's injuries had almost resolved and that no permanent disability is expected. To some extent, that diagnosis and opinion likely assisted the plaintiff in agreeing to settle the matter for the amount she recovered. I expect this is the type of matter that sometimes may be resolved on the basis of clinical records alone, but I cannot say that it should have been resolved solely with reference to the plaintiff's clinical records as was suggested by counsel for the defendants. Plaintiff's counsel was of the opinion (see her affidavit sworn June 28, 2013 in this matter, at para. 19 and 20) that Dr. Kim's evidence was necessary to provide a general overview of the plaintiff's health condition, and her progress and symptoms related to the Accident. I agree that such evidence was properly gathered and would have been useful both in settling the plaintiff's case but also, had the matter proceeded to trial, in providing this evidence to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did not indicate that the amount charged by Dr. Kim for his medical-legal report was unreasonable. Dr. Kim's invoice for his report was for $1,085.50 made up of $89.50 for "Review of records by Physician"; $18 in photocopying charges; and $978 for the "medico-legal report". In a letter to Ms. Orr (plaintiff's counsel) of April 7, 2012, Dr. Kim confirmed that he spent approximately five hours reviewing the plaintiff's medical records and producing his report. He also notes that the fee charged for the report is consistent with the BCMA guidelines for medico-legal reports (A00072). I am satisfied that the amount charged by Dr. Kim for his medical-legal report was reasonable in the circumstances and I will allow the plaintiff to recover that amount on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for Dr. Park, I do not agree that it was necessary or proper to obtain a report from him. While it appears that Dr. Park was, to some extent, the plaintiff's main "treater", in my view, the plaintiff only required one report regarding her prognosis, symptoms and treatment. There was no need, in my opinion for two reports. Dr. Kim provided a summary in his report of the plaintiff's symptoms, her medical history, treatment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1-3 is relevant to this matter. It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I am required to consider this concept of proportionality (which is expressly noted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 deciding which disbursements were necessary or proper to conduct an action. Here, the matter settled for $13,500 and, while I understand that there are any number of reasons why people settle matters, this could not be said to be a significant monetary file. In fact the plaintiff herself offered to settle this matter for $18,500, an amount well within the jurisdiction of the Provincial Court of British Columbia, Small Claims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I understand that, as this matter was in "fast track" and thus it was necessary to commission reports in a timely fashion, it must be said that commissioning reports from both Dr. Kim and Dr. Park was disproportionate to the value of the claim. The plaintiff's injuries were not complex. She sought only damages for past income loss and her non-pecuniary losses. Thus the costs of one of those reports (Dr. Park's) must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for Dr. O'Connor, the plaintiff submits that it was receipt of Dr. O'Connor's report that lead to the defendants increasing their offer from $5,500 to $10,500 and therefore it must be said to have been useful to obtain that report. Plaintiff's counsel also submitted that the defendants seemingly approved of her decision to engage Dr. O'Connor when, in responding to Ms. Orr's letter advising that Dr. O'Connor had been engaged and thus settlement should wait receipt of his report, Mr. Ferguson responded "That makes good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Whether it was Dr. O'Connor's report or simply a desire to move this matter along that occasioned the defendants to raise their offer, I must consider whether, at the time the plaintiff engaged the services of Dr. O'Connor, it was necessary or proper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Orr deposes that Dr. O'Connor's evidence was that Ms. Park's symptoms did not resolve quickly after the Accident. Specifically she says (from her affidavit of June 28, 2013,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O'Connor is a specialist in the field of physical medicine and rehabilitation. The report of Dr. O'Connor was required in order to obtain an informed opinion regarding the cause of Ms. Park's injuries as well as the prognosis, treatment and case. I also expected that, as is the norm, the defence would have my client assessed by an expert such as an orthopaedic surgeon or physiatrist in advance of the trial. I was of the view that Dr. O'Connor would be required as a witness at trial so that his expertise would balance that of the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Orr's last reason for retaining Dr. O'Connor - that he would be needed to balance the defence expert - shows prospective, not present thinking. There was no defence expert at the time Dr. O'Connor was engaged. There had been no request that Ms. Park attend a defence medical assessment. Thus, it cannot be said that, at the time he was retained, Dr. O'Connor's engagement was necessary for the conduct of the proceeding. Further, Dr. Kim's opinion (as at January 21, 2013) was that the plaintiff's injuries were almost resolved. It would have been prudent for Ms. Orr to await Dr. Kim's report before commissioning another, far more expensive, expert simply because Ms. Park's symptoms did not resolve quickly after the Accident. To engage Dr. O'Connor shows, in my view, excessive zeal in the prosecution of Ms. Park's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I understand the plaintiff's submission that, as the matter was in "fast track", there were some (possibly) looming expert report deadlines, at the time Dr. O'Connor was retained, no trial date had, as yet been set and, accordingly, the provisions of Rule 15-1(13) (requiring that a trial date be set within 4 months after it is applied for by one of the parties to the action) had not been triggered and thus there was no actual looming deadline for service of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as for the claim that the defendants somehow approved Dr. O'Connor's retainer, it is clear, in reviewing the trail of correspondence between Ms. Orr and Mr. Ferguson that Mr. Ferguson's "good sense" comment related to waiting to reinstitute settlement negotiations to receipt of "two medical reports", not to actually approving the retainer of any particular expert; nor agreeing to pay for same. This comment cannot be relied upon as a basis for making the defendants responsible for reimbursing the plaintiff her costs of this extravagant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reasons given, I disallow the claim for the costs of Dr. O'Connor's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 Austin Avenue Physiotherapy - Duplicate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submit that one of the charges claimed for clinical records requested and received from Austin Ave Physio &amp; Wellness is duplicative.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two invoices from Austin Ave Physio &amp; Wellness in the materials. Both are for $150. One is dated 12/13/12 and the other 2/16/13. Mr. Stewart told me that the first invoice was in respect of a request for the plaintiff's records to the date of that invoice and the second was for an update of those records - those from December 2012 to February 2013. I was not told why an updated set of records (two months after the first set) were ordered but I do not find that these were duplicate records as suggested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Orr was not specifically advised that the defendants claimed that this disbursement was disputed or why it was disputed and therefore did not have the opportunity to provide her evidence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see no error on counsel's part in ordering up-to-date records and therefore will allow this disbursement (or both of them)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 Administrative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dispute a number of the what I call "administrative disbursements" claimed, being: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6" type="#_x0000_t75" style="width:323.4pt;height:289.8pt">
            <v:imagedata r:id="rId82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2006 BCSC 855</w:t>
        </w:r>
      </w:hyperlink>
      <w:r>
        <w:rPr>
          <w:rFonts w:ascii="arial" w:eastAsia="arial" w:hAnsi="arial" w:cs="arial"/>
          <w:color w:val="000000"/>
          <w:sz w:val="20"/>
          <w:lang w:val="en-US" w:eastAsia="en-US" w:bidi="ar-SA"/>
        </w:rPr>
        <w:t>, Registrar Blok, as he then was, referred to determining issuing of photocopying on assessments of costs as "perennial, never-ending and vexing". In my view, that same description applies to assessing not simply photocopies but all of these so-called administrative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(citing </w:t>
      </w:r>
      <w:r>
        <w:rPr>
          <w:rFonts w:ascii="arial" w:eastAsia="arial" w:hAnsi="arial" w:cs="arial"/>
          <w:i/>
          <w:color w:val="000000"/>
          <w:sz w:val="20"/>
          <w:lang w:val="en-US" w:eastAsia="en-US" w:bidi="ar-SA"/>
        </w:rPr>
        <w:t>Dakin v. Roth</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2013 BCSC 1018</w:t>
        </w:r>
      </w:hyperlink>
      <w:r>
        <w:rPr>
          <w:rFonts w:ascii="arial" w:eastAsia="arial" w:hAnsi="arial" w:cs="arial"/>
          <w:color w:val="000000"/>
          <w:sz w:val="20"/>
          <w:lang w:val="en-US" w:eastAsia="en-US" w:bidi="ar-SA"/>
        </w:rPr>
        <w:t xml:space="preserve"> (Registrar)) suggest that I do not have sufficient evidence to distinguish between disbursements which constitute overhead and those which were "necessary or proper" and as such submit that I ought to disallow all, or a portion, of them. All that is before me is Ms. Orr's affidavit that simply states these disbursements were incurred; not for what purpose. However, just as proportionality must apply to my determination of "excessive" costs, so, too, must proportionality be taken into account in deciding issues such as these. At some point, counsel must apply the law of diminishing returns in considering the amount of time and expense he or she should devote to proving each and every one of these smaller amounts. In my view, a registrar should take a "rough and ready" approach (as in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assessing these types of disbursements and, further, should apply her considerable experience in similar matters to decide which disbursements were necessary and proper and, if so, allow a reasonable amount for such disbursements (see </w:t>
      </w:r>
      <w:r>
        <w:rPr>
          <w:rFonts w:ascii="arial" w:eastAsia="arial" w:hAnsi="arial" w:cs="arial"/>
          <w:i/>
          <w:color w:val="000000"/>
          <w:sz w:val="20"/>
          <w:lang w:val="en-US" w:eastAsia="en-US" w:bidi="ar-SA"/>
        </w:rPr>
        <w:t>Hamo v. Khan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2010 BCSC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reviewed the list of these disbursements. With a few exceptions, each of them is an "ordinary" disbursement that I am likely to see and allow on a bill of costs in a motor-vehicle accident action. While the defendants should not have to pay for disbursements that were incurred or increased through extravagance, common sense and experience suggests that many of these "administrative disbursements" are, in the usual course, necessary, proper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no doubt that some facsimiles were sent; some photocopies made; some documents delivered by legal alternative, mail or regular courier. A search was done of the plaintiff's employment history through WorkSafe BC. Each of these is a disbursement that was necessarily or properly incurred. I am also satisfied, based on a rough and ready analysis and applying my knowledge of similar matters, that the amounts claimed for these items are reasonable in the circumstances and I will allow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a small amount ($2.80), I received no evidence as to why there were any "telephone charges" in this matter and I cannot conclude (based on my knowledge of similar matters) that any telephone charges would have been necessarily incurred in the conduct of this proceeding. The claim for this disbursement therefore must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Local transportation and binding (office supplies) are considered to be items of overhead and I will not allow them: </w:t>
      </w:r>
      <w:r>
        <w:rPr>
          <w:rFonts w:ascii="arial" w:eastAsia="arial" w:hAnsi="arial" w:cs="arial"/>
          <w:i/>
          <w:color w:val="000000"/>
          <w:sz w:val="20"/>
          <w:lang w:val="en-US" w:eastAsia="en-US" w:bidi="ar-SA"/>
        </w:rPr>
        <w:t>Parent v. Lohia</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2012 BCSC 1677</w:t>
        </w:r>
      </w:hyperlink>
      <w:r>
        <w:rPr>
          <w:rFonts w:ascii="arial" w:eastAsia="arial" w:hAnsi="arial" w:cs="arial"/>
          <w:color w:val="000000"/>
          <w:sz w:val="20"/>
          <w:lang w:val="en-US" w:eastAsia="en-US" w:bidi="ar-SA"/>
        </w:rPr>
        <w:t xml:space="preserve"> (Registrar), at para. 60;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1751</w:t>
        </w:r>
      </w:hyperlink>
      <w:r>
        <w:rPr>
          <w:rFonts w:ascii="arial" w:eastAsia="arial" w:hAnsi="arial" w:cs="arial"/>
          <w:color w:val="000000"/>
          <w:sz w:val="20"/>
          <w:lang w:val="en-US" w:eastAsia="en-US" w:bidi="ar-SA"/>
        </w:rPr>
        <w:t xml:space="preserve"> (Registrar), at para. 38; </w:t>
      </w:r>
      <w:r>
        <w:rPr>
          <w:rFonts w:ascii="arial" w:eastAsia="arial" w:hAnsi="arial" w:cs="arial"/>
          <w:i/>
          <w:color w:val="000000"/>
          <w:sz w:val="20"/>
          <w:lang w:val="en-US" w:eastAsia="en-US" w:bidi="ar-SA"/>
        </w:rPr>
        <w:t>Emerick v. Timberlands Properties Inc.</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2012 BCSC 349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Chow v. Nguyen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2012 BCSC 729</w:t>
        </w:r>
      </w:hyperlink>
      <w:r>
        <w:rPr>
          <w:rFonts w:ascii="arial" w:eastAsia="arial" w:hAnsi="arial" w:cs="arial"/>
          <w:color w:val="000000"/>
          <w:sz w:val="20"/>
          <w:lang w:val="en-US" w:eastAsia="en-US" w:bidi="ar-SA"/>
        </w:rPr>
        <w:t xml:space="preserve"> (Registrar),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for the QuickLaw research, it, too, may be found to be overhead and, absent convincing evidence that pay-per-use type of computerised legal research was a necessary adjunct of the prosecution of this case (which I did not receive here), I will not allow the claim for these amounts (see </w:t>
      </w:r>
      <w:r>
        <w:rPr>
          <w:rFonts w:ascii="arial" w:eastAsia="arial" w:hAnsi="arial" w:cs="arial"/>
          <w:i/>
          <w:color w:val="000000"/>
          <w:sz w:val="20"/>
          <w:lang w:val="en-US" w:eastAsia="en-US" w:bidi="ar-SA"/>
        </w:rPr>
        <w:t>Fairchild v. Vancouver Coastal Health Authority</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2011 BCSC 616</w:t>
        </w:r>
      </w:hyperlink>
      <w:r>
        <w:rPr>
          <w:rFonts w:ascii="arial" w:eastAsia="arial" w:hAnsi="arial" w:cs="arial"/>
          <w:color w:val="000000"/>
          <w:sz w:val="20"/>
          <w:lang w:val="en-US" w:eastAsia="en-US" w:bidi="ar-SA"/>
        </w:rPr>
        <w:t xml:space="preserve"> (Registrar), at paras. 75-82).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E. CML Healthcare - X-Ray Disk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claims $100 for this disbursement. The defendants submit that this x-ray was taken some one month after the Accident and thus, if claimable, should have been claimed as an item of special damages, and not a disbursement recoverable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motor vehicle accident was December 22, 2010. The x-ray was taken (according to the invoice before me) on December 17, 2012 - some two years after the Accident. Accordingly, the defendants' submission with respect to this invoice must be in error. However, I still must be satisfied that the expense was necessary or proper. In her affidavit of June 18, 2013, Ms. Orr deposed, in respect of this item:</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December, 2012, Ms. Park attended CML HealthCare for X-Rays. My firm requested and received the clinical records of CML HealthCare for Ms. Park. CML HealthCare sent my firm an invoice dated December 17, 2012, in the amount of $100.00 for the clinical records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no other evidence as to why this x-ray was ordered. I reviewed all of the medical-legal reports prepared in this action. None of them mentioned the need for x-rays in December 2012. In fact, according to Dr. Kim's report, Ms. Park's condition had improved to 90% of her pre-injury level by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plaintiff has not established that it was either necessary or proper to order an x-ray in December 2012 and I will disallow the plaintiff's claim for reimbursement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F. Interpreters'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bill of costs contains claims for the costs of two court certified interpreters (Korean/English): Sophia Shin (for $102) and Kyung Mickel (for $1,726). In her affidavit, Ms. Orr deposes: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of Kyung Mickel were necessary in this case. I understand Ms. Park is Korean and does not speak more than rudimentary English. In order for her to communicate properly throughout this litigation, she required the assistance of an interpreter. I did not communicate with her except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Park swore an affidavit in support of this appointment. In it she deposes: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first language is Korean. I have received no language training in English and I speak very little English. I cannot communicate well enough to schedule an appointment with my counsel or my doctor in English.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course of this litigation, I required the assistance of an interpreter to ensure I could properly communicate with my counsel. If my case had gone to trial I would have given evidence through an interpreter at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 wanted to ensure that I properly communicated with medical professionals, and that they fully understood my physical and psychological symptoms. Ms. Mickel, attended 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28, 2011 at the office of Mr. Morley for an initial consultation;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19, 2012 at the office of Mr. Morley for an update meeting;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10, 2013 at the office of Ms. Orr for an update meeting;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11, 2013 at the office of Dr. O'Connor for an independent medical examination.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Mickel often spoke with me by telephone and translated correspondence or issues I needed to convey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Mickel, in her affidavit sworn July 2, 2013 in support of this assessment says: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hourly rate is $60, and I charge my time in 10-minute increments, which is standard for court interpreters. I charge $0.60 per kilometre for local travel when I am working as an interpreter. For a half day booking my minimum charge is three hours, and for a whole day booking my minimum charge is five hours. My rate, minimum charges, and travel charges are comparable to charges of other court certified interpreters.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communications with Ms. Park have been mostly in Korean. I have scarcely heard her speaking in English except for brief expressions. Her English skills are very limited and she has difficulties communicating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Stewart (plaintiff's counsel) argued that the plaintiff has a right, pursuant to s.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of Rights and Freedoms</w:t>
      </w:r>
      <w:r>
        <w:rPr>
          <w:rFonts w:ascii="arial" w:eastAsia="arial" w:hAnsi="arial" w:cs="arial"/>
          <w:color w:val="000000"/>
          <w:sz w:val="20"/>
          <w:lang w:val="en-US" w:eastAsia="en-US" w:bidi="ar-SA"/>
        </w:rPr>
        <w:t xml:space="preserve">, 1982, to fully understand the proceedings to which she is a party and the right to the assistance of an interpreter: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(1987), 37 D.L.R. (4th) 376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 and </w:t>
      </w:r>
      <w:r>
        <w:rPr>
          <w:rFonts w:ascii="arial" w:eastAsia="arial" w:hAnsi="arial" w:cs="arial"/>
          <w:i/>
          <w:color w:val="000000"/>
          <w:sz w:val="20"/>
          <w:lang w:val="en-US" w:eastAsia="en-US" w:bidi="ar-SA"/>
        </w:rPr>
        <w:t>Paul's Restaurant Ltd. (c.o.b. Laurel Point Inn) v. Dunn</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[1996] B.C.J. No. 114</w:t>
        </w:r>
      </w:hyperlink>
      <w:r>
        <w:rPr>
          <w:rFonts w:ascii="arial" w:eastAsia="arial" w:hAnsi="arial" w:cs="arial"/>
          <w:color w:val="000000"/>
          <w:sz w:val="20"/>
          <w:lang w:val="en-US" w:eastAsia="en-US" w:bidi="ar-SA"/>
        </w:rPr>
        <w:t xml:space="preserve"> (B.C.S.C. Registrar)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 As such, the costs of the interpreter must be said to have been "necessarily or properly incurred" in the conduct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Registrar Joyce (as he then was) was considering a party's claim for reimbursement of the costs of sign language interpreters during court proceedings. His Honour considered the decision in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dealt with the question whether the Crown was obliged to pay for interpreting. In this case the question is not whether the Crown is obliged to pay the fees of the interpreter but whether the unsuccessful party is bound to recompense the successful party in respect of those fees. The answer to that question depends on whether or not it was "necessary or proper" for the successful party to incur them. In my view, however, section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material to the determination of that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agree with counsel for the petitioner when he says that a party may not have as great a need to be present throughout and to hear and understand the whole of proceedings which are conducted in chambers on the basis of affidavit evidence as he does to be present and to follow the conduct of a trial. In the chambers proceedings the party is not required to testify. There are no other witnesses whose evidence he must hear in order to be able to provide instructions to his counsel. There may well be less need to provide instructions during the course of the hearing than is the case with a trial. But the party has the right to be present throughout and, in my view, that is an important right of which a litigant should not be readily deprived. If it is to be an effective right the party must have the ability to understand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It may be that even without s.14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 party who is deaf or who does not understand English and who employs the assistance of an interpreter in civil proceedings incurs a proper disbursement. But with the force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gives a litigant who does not understand or speak the language in which the proceedings are conducted or who is deaf the fundamental right to have the assistance of an interpreter I think it is impossible to say that the cost of employing the interpreter is not a proper disbursement. Further, I consider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is not limited to the assistance of an interpreter for the purpose of testifying in court. Section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not limited by its words to the assistance of an interpreter only for testifying and in my view it is broader than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this case the party was present throughout as he had the right to be. In order to follow and understand the proceedings he required the assistance of interpreters. Accordingly, I am of the view that the disbursement was proper and is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was subsequently considered by Registrar Blok, as he then was. In </w:t>
      </w:r>
      <w:r>
        <w:rPr>
          <w:rFonts w:ascii="arial" w:eastAsia="arial" w:hAnsi="arial" w:cs="arial"/>
          <w:i/>
          <w:color w:val="000000"/>
          <w:sz w:val="20"/>
          <w:lang w:val="en-US" w:eastAsia="en-US" w:bidi="ar-SA"/>
        </w:rPr>
        <w:t>William v. HMTQ</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2007 BCSC 853</w:t>
        </w:r>
      </w:hyperlink>
      <w:r>
        <w:rPr>
          <w:rFonts w:ascii="arial" w:eastAsia="arial" w:hAnsi="arial" w:cs="arial"/>
          <w:color w:val="000000"/>
          <w:sz w:val="20"/>
          <w:lang w:val="en-US" w:eastAsia="en-US" w:bidi="ar-SA"/>
        </w:rPr>
        <w:t xml:space="preserve">, the Learned Registrar reviewed the decision in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and noted that in arguing that the costs for out-of-court interpreters ought generally to be rejected, the defendants in that case were taking "too narrow a view". Specifically,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agree that the child care, travel time and cancellation fees are reasonable, necessary and proper in the unusual circumstances of this case, essentially for the reasons advanced by the plaintiff. While I might have my doubts that the quoted rate of $70 per hour for a Japanese interpreter was representative of a market rate for an interpreter of a common foreign language, there is no question that the basic hourly rate claimed here is a relatively low one, perhaps even a very low one. Although child care payments and some types of cancellation charges might not normally be allowed on an assessment, I am satisfied that the arrangement here was a "package deal" and that it is the overall arrangement, and its cost, that must be considered. Doing the best that I can on the basis of the evidence before me (noting that neither party did any arithmetic analysis of the charges), I conclude that the overall cost of the interpretation services, however it was made up, was reasonable. To put it another way, I would have been satisfied that the cost of interpretation services was reasonable if somewhat higher rates had been paid but no child care, travel time or cancellation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am also satisfied that, in the unique circumstances of this case and particularly given the very limited "market" for Tsilhqot'in interpreters, it was appropriate to pay all interpreters the same amounts.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There are some specific disbursements for interpreters which I conclude must be disallowed. These are as follows:</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fees charged by Herb Jeff for interpretation services while Elizabeth Jeff was in hospital in Victoria. As necessary as Mr. Jeff's attendance might have been for the purposes of interpreting for his mother while in hospital, this is not an expense related to the litigation. I note that the defendants, on compassionate grounds, did not challenge the accommodation expenses of Mr. Jeff and his father for their stay in Victoria while Ms. Jeff was in hospital;</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cancellation fees paid to Agnes Haller, where it was shown that Ms. Haller was also paid for transcribing tapes on the day in question;</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paid to interpreters while sitting in the gallery in court;</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care paid to Agnes Haller where the care was required only because her husband accompanied her when she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Girocredit Bank v. Bader</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1999 BCCA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 without referring to any particular authority or performing a specific analysis of the necessity or propriety of the disbursements claimed, Registrar Jordan allowed a claim on a bill of costs for some $10,000 in translation and interpretation fees mostly related to translating documents for use in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Terekhov v. Elias et al.</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2003 BCSC 956</w:t>
        </w:r>
      </w:hyperlink>
      <w:r>
        <w:rPr>
          <w:rFonts w:ascii="arial" w:eastAsia="arial" w:hAnsi="arial" w:cs="arial"/>
          <w:color w:val="000000"/>
          <w:sz w:val="20"/>
          <w:lang w:val="en-US" w:eastAsia="en-US" w:bidi="ar-SA"/>
        </w:rPr>
        <w:t xml:space="preserve"> Master Groves (as he then was), sitting as a registrar relied on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in granting the plaintiff's disbursement claim for interpretation services at the rate of $50 an hour for 16 hours of services. In that case, Master Groves considers the test for a claim of disbursements in Rule 57(4) [now Rule 14-1(5)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considering this Rule, it is noteworthy that we live in an increasingly multi-ethnic society. It is clearly not unusual that a lawyer would be approached by a client who has significant language difficulties. In some circumstances, it may be reasonable to expect a client to retain the services of a lawyer who speaks their language if there are a good number of lawyers available with that language skill. I note that in regards to the Russian language, the Canadian Bar Association, British Columbia Branch, legal directory for 2003 notes only 10 lawyers in the (604) area code who provide second-language services in Russian. Without getting into a detailed analysis of where these various counsel practice, or an analysis of the preferred area of practice of these various solicitors, it is not unreasonable, considering the limited number of solicitors who provide second language services in Russian, to conclude that this plaintiff should not have to seek out the services of a Russian-speaking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Based on the reasoning set out in the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case noted above, and based on the real need of the plaintiff to instruct counsel and understand counsel's advice, I have concluded that the disbursement claimed, for translation and interpretation services, was properly incurred in the conduct of this proceeding. It does, in my view, meet the test set out in Rule 57(4)(a).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regards to the reasonable amount of the expense claimed for this disbursement, I note that the translation services were provided from September 11th, 2000 through to sometime in 2003 when the matter was eventually settled. The number of hours claimed are 16 in total. Considering that the client's relationship with the solicitor spanned a period of four calendar years, a claim for 16 hours of translation services is most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As to the amount or hourly rate charged, no evidence was provided specifically, as it was in the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case noted above, as to the hourly rate payable by the courts or set out by the B.C. Professional Legal Interpreters as a fee guide. I allowed the fees at $50 an hour, noting that in the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case the B.C. Professional Legal Interpreters' 1997 fee was based on the claim of $45 an hour. I made some slight adjustment to that to reflect the six years which have passed since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Based on the reasons noted above, in this case, the claim for interpretation services were in my view a expense and disbursement reasonably necessary for the proper conduct of the proceedings and I allowed the claim at $50 an hour for the 16 hours, plus the small amount of disbursements for travel and mileage, for a total of $865.07.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respect to the claim for Ms. Sophia Shin, the defendants say that there is no evidence that Ms. Shin provided services or that she was paid for same. I agree. Ms. Orr's and Ms. Park's affidavits are silent on this point. A plaintiff seeking recovery a disbursement has a positive duty to tender some evidence that an expense was actually incurred: </w:t>
      </w:r>
      <w:r>
        <w:rPr>
          <w:rFonts w:ascii="arial" w:eastAsia="arial" w:hAnsi="arial" w:cs="arial"/>
          <w:i/>
          <w:color w:val="000000"/>
          <w:sz w:val="20"/>
          <w:lang w:val="en-US" w:eastAsia="en-US" w:bidi="ar-SA"/>
        </w:rPr>
        <w:t>Prehara v. Royer</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2007 BCSC 912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Hamilton v. Rose</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2007 BCSC 1805</w:t>
        </w:r>
      </w:hyperlink>
      <w:r>
        <w:rPr>
          <w:rFonts w:ascii="arial" w:eastAsia="arial" w:hAnsi="arial" w:cs="arial"/>
          <w:color w:val="000000"/>
          <w:sz w:val="20"/>
          <w:lang w:val="en-US" w:eastAsia="en-US" w:bidi="ar-SA"/>
        </w:rPr>
        <w:t>. No evidence was before me here and, accordingly, I must disallow this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for the fees paid to Ms. Mickel, the defendants say, firstly, that it was not necessary or proper to use a court-certified translator to provide many of the services performed by Ms. Mickel; and, secondly, for those services that were necessary or proper, the amounts charged are simply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Specifically, Mr. Ferguson argued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only applies to proceedings involving the government and has no application to disputes between private individuals (see </w:t>
      </w:r>
      <w:r>
        <w:rPr>
          <w:rFonts w:ascii="arial" w:eastAsia="arial" w:hAnsi="arial" w:cs="arial"/>
          <w:i/>
          <w:color w:val="000000"/>
          <w:sz w:val="20"/>
          <w:lang w:val="en-US" w:eastAsia="en-US" w:bidi="ar-SA"/>
        </w:rPr>
        <w:t>RWDSU v. Dolphin Delivery Ltd.</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[1986] 2 R.C.S. 573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involved a decision to set aside a decision of the provincial council of human rights. Similarly </w:t>
      </w:r>
      <w:r>
        <w:rPr>
          <w:rFonts w:ascii="arial" w:eastAsia="arial" w:hAnsi="arial" w:cs="arial"/>
          <w:i/>
          <w:color w:val="000000"/>
          <w:sz w:val="20"/>
          <w:lang w:val="en-US" w:eastAsia="en-US" w:bidi="ar-SA"/>
        </w:rPr>
        <w:t>William v. HMTQ</w:t>
      </w:r>
      <w:r>
        <w:rPr>
          <w:rFonts w:ascii="arial" w:eastAsia="arial" w:hAnsi="arial" w:cs="arial"/>
          <w:color w:val="000000"/>
          <w:sz w:val="20"/>
          <w:lang w:val="en-US" w:eastAsia="en-US" w:bidi="ar-SA"/>
        </w:rPr>
        <w:t xml:space="preserve"> involved the government of the Province of British Columbia. Thus, in both instances it was appropriate to invoke the provisions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However, the defendants argue that, to extend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Williams v. HMTQ</w:t>
      </w:r>
      <w:r>
        <w:rPr>
          <w:rFonts w:ascii="arial" w:eastAsia="arial" w:hAnsi="arial" w:cs="arial"/>
          <w:color w:val="000000"/>
          <w:sz w:val="20"/>
          <w:lang w:val="en-US" w:eastAsia="en-US" w:bidi="ar-SA"/>
        </w:rPr>
        <w:t xml:space="preserve"> to private litigation between private individuals is contrary to the purpose behind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for </w:t>
      </w:r>
      <w:r>
        <w:rPr>
          <w:rFonts w:ascii="arial" w:eastAsia="arial" w:hAnsi="arial" w:cs="arial"/>
          <w:i/>
          <w:color w:val="000000"/>
          <w:sz w:val="20"/>
          <w:lang w:val="en-US" w:eastAsia="en-US" w:bidi="ar-SA"/>
        </w:rPr>
        <w:t>Terekhov v. Elias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Mr. Ferguson conceded that, if it can be established that it was necessary or proper to have a court-certified interpreter, provided the costs are reasonable, then such costs may be recoverable. For example, Mr. Ferguson agreed that it would be appropriate for the plaintiff to have a court-certified interpreter at an examination for discovery, trial, or even at an independent medical examination, provided that it was necessary and proper for the plaintiff to undergo such independent examination. However, here there is no evidence that there was no-one, other than a court-certified interpreter, who could provide assistance to the plaintiff. In "usual" cases, there may be someone in the plaintiff's counsel's firm who can provide translation assistance. Or, more usually, a family member or friend attends appointments with the plaintiff and assists the plaintiff in understanding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argue that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is not analogous in that, in that case, the issue was the cost of the services; not whether it was necessary or proper to retain the services of a translator or interpreter. As for the costs of translation allowed in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they related mostly to preparing and providing certified translations and true copies of judgments, orders, transcripts of evidence and related materials from certain civil proceedings taking place in Germany regarding the parties to the appeal. The interpretation services proved were provided by the respondents' niece for acting as an intermediary between the respondents and their counsel; attending at court with the respondents and translating the proceedings; as well as preparing draft translations of judgments and other documents for review by the respondents' lawyers to assist them in determining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the defendants caution that I ought to be aware, in making my decision, of the precedent that I might create if I allow the plaintiff to recover the costs of a court-certified interpreter for all her interactions with her counsel and others in connection with this action. The defendants caution that ruling in the plaintiff's favour could lead to a significant increase in the costs of disbursements in every motor vehicle accident case where a party claims the assistance of an interpreter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will deal with this latter argument first. In my view, it is inappropriate for me to consider, in making my decision, the impact my decision might have on an "institutional defendant' in these courts. I ought not to and will not decide this matter any differently from any other matter simply because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defendant in this proceeding is the Insurance Corporation of British Columbia: </w:t>
      </w:r>
      <w:r>
        <w:rPr>
          <w:rFonts w:ascii="arial" w:eastAsia="arial" w:hAnsi="arial" w:cs="arial"/>
          <w:i/>
          <w:color w:val="000000"/>
          <w:sz w:val="20"/>
          <w:lang w:val="en-US" w:eastAsia="en-US" w:bidi="ar-SA"/>
        </w:rPr>
        <w:t>Dosanjh v. Martin</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2001 BCSC 1759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Skipp L.J.S.C. confirmed that s.14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provide a civil litigant with the right to the assistance of an interpreter. However, His Lordship confirmed that the initial responsibility for payment of an interpreter is with the litigant. In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Master Joyce (as Registrar) refers to the decision in </w:t>
      </w:r>
      <w:r>
        <w:rPr>
          <w:rFonts w:ascii="arial" w:eastAsia="arial" w:hAnsi="arial" w:cs="arial"/>
          <w:i/>
          <w:color w:val="000000"/>
          <w:sz w:val="20"/>
          <w:lang w:val="en-US" w:eastAsia="en-US" w:bidi="ar-SA"/>
        </w:rPr>
        <w:t>Wyllie v. Wyllie</w:t>
      </w:r>
      <w:r>
        <w:rPr>
          <w:rFonts w:ascii="arial" w:eastAsia="arial" w:hAnsi="arial" w:cs="arial"/>
          <w:color w:val="000000"/>
          <w:sz w:val="20"/>
          <w:lang w:val="en-US" w:eastAsia="en-US" w:bidi="ar-SA"/>
        </w:rPr>
        <w:t xml:space="preserve"> but says (at paras. 11 and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agree with counsel for the petitioner when he says that a party may not have as great a need to be present throughout and to hear and understand the whole of proceedings which are conducted in chambers on the basis of affidavit evidence as he does to be present and to follow the conduct of a trial. In the chambers proceedings the party is not required to testify. There are no other witnesses whose evidence he must hear in order to be able to provide instructions to his counsel. There may well be less need to provide instructions during the course of the hearing than is the case with a trial. But the party has the right to be present throughout and, in my view, that is an important right of which a litigant should not be readily deprived. If it is to be an effective right the party must have the ability to understand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may be that even without s.14 of the Charter a party who is deaf or who does not understand English and who employs the assistance of an interpreter in civil proceedings incurs a proper disbursement. But with the force of the Charter which gives a litigant who does not understand or speak the language in which the proceedings are conducted or who is deaf the fundamental right to have the assistance of an interpreter I think it is impossible to say that the cost of employing the interpreter is not a proper disbursement. Further, I consider that the Charter right is not limited to the assistance of an interpreter for the purpose of testifying in court. Section 14 of the Charter is not limited by its words to the assistance of an interpreter only for testifying and in my view it is broader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settled law in this Province that the questions to be answered by a registrar on every assessment of costs in relation to disbursements are first: Was the disbursement necessarily or properly incurred in the conduct of the proceedings? And second, if it was: What is a reasonable amount to allow for such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start by considering whether it was either necessary or proper for Ms. Park (through her counsel) to have employed the services of a court-certified interpreter for each and every interaction with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I noted earlier in these reasons, "necessary" disbursements are essential disbursements: disbursements that could not have been avoided in the conduct of the proceeding. "Proper" disbursements are those reasonably incurred in the conduct of the proceeding but which are, strictly speaking, avoidable: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2008 BCSC 916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Paul's Restaurant</w:t>
      </w:r>
      <w:r>
        <w:rPr>
          <w:rFonts w:ascii="arial" w:eastAsia="arial" w:hAnsi="arial" w:cs="arial"/>
          <w:color w:val="000000"/>
          <w:sz w:val="20"/>
          <w:lang w:val="en-US" w:eastAsia="en-US" w:bidi="ar-SA"/>
        </w:rPr>
        <w:t xml:space="preserve">, Registrar Joyce confirmed that the right to have the assistance of an interpreter is not restricted to testifying at trial. The right is to "have the ability to understand the proceedings". In </w:t>
      </w:r>
      <w:r>
        <w:rPr>
          <w:rFonts w:ascii="arial" w:eastAsia="arial" w:hAnsi="arial" w:cs="arial"/>
          <w:i/>
          <w:color w:val="000000"/>
          <w:sz w:val="20"/>
          <w:lang w:val="en-US" w:eastAsia="en-US" w:bidi="ar-SA"/>
        </w:rPr>
        <w:t>William v. HMTQ</w:t>
      </w:r>
      <w:r>
        <w:rPr>
          <w:rFonts w:ascii="arial" w:eastAsia="arial" w:hAnsi="arial" w:cs="arial"/>
          <w:color w:val="000000"/>
          <w:sz w:val="20"/>
          <w:lang w:val="en-US" w:eastAsia="en-US" w:bidi="ar-SA"/>
        </w:rPr>
        <w:t>, as noted Registrar Blok refused to accede to the defendant's argument that the costs of out-of-court interpreters generally ought to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Here, the evidence is clear. The plaintiff was unable to understand this proceeding without employing an interpreter. Her English is minimal. She deposed that she was not even capable of scheduling an appointment with her counsel. In these circumstances, I find that it was necessary for the plaintiff to employ an interpreter. The plaintiff, through no fault of her own was injured by the defendants in a motor vehicle collision. But for the tortious acts of the defendants, the plaintiff would not have been involved in this action; nor would she have had the need to engage counsel and an interpreter assist her in understanding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also of the view that it was not necessary for the plaintiff to take the next step, as suggested by the defendants, and prove to me that she needed the services of a court-certified interpreter or that there was no one (friend or family) available to provide interpretation services. The plaintiff is only required to prove that an interpreter was necessary and she has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Having found that the services of an interpreter were necessary, I must now embark on a determination of the reasonableness of the fees charged by the interpreter employed; not whether others might have been able to provide those services at reduced or no cost. In fact, in </w:t>
      </w:r>
      <w:r>
        <w:rPr>
          <w:rFonts w:ascii="arial" w:eastAsia="arial" w:hAnsi="arial" w:cs="arial"/>
          <w:i/>
          <w:color w:val="000000"/>
          <w:sz w:val="20"/>
          <w:lang w:val="en-US" w:eastAsia="en-US" w:bidi="ar-SA"/>
        </w:rPr>
        <w:t>Girocredit</w:t>
      </w:r>
      <w:r>
        <w:rPr>
          <w:rFonts w:ascii="arial" w:eastAsia="arial" w:hAnsi="arial" w:cs="arial"/>
          <w:color w:val="000000"/>
          <w:sz w:val="20"/>
          <w:lang w:val="en-US" w:eastAsia="en-US" w:bidi="ar-SA"/>
        </w:rPr>
        <w:t xml:space="preserve"> the "interpreter" was the respondents' niece, not a certified interpreter. Registrar Jordan allowed the niece's interpretation and translation fees at rates akin to those charged by B.C. Professional Legal Interpreters (as set out in their Schedule of Fees in force at the time the interpretation and translation services were provided). The Learned Registrar was satisfied of the reasonableness of the fees charged and allowed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Mickel charged her time at $60 per hour. She bills in 10 minute increments. There are a number of instances on her bills where Ms. Mickel records and bills multiples of 10 minute increments for work to which she recorded much smaller amounts of time. Some of those blocks of time occur on the same day. For example, in her invoice of February 28, 2011 Ms. Mickel recorded time to "telephone work"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7" type="#_x0000_t75" style="width:432.06pt;height:185.28pt">
            <v:imagedata r:id="rId83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Thus for 44 minutes of actual work, Ms. Mickel billed the plaintiff for 70 minutes of "chargeable"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January 7, 2011, the time expended by Ms. Mickel was 11 minutes, yet the chargeable time is 30 minutes. In February 2013 (when the settlement discussions were occurring), Ms. Mickel recorded 39 minutes of actual time yet "chargeable time" amounted to one hour and 20 minutes, including an entry on "Feb. 13" for "Finalizing the case" and for which 30 minutes of chargeable time was billed.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These are but a few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Other professionals (lawyers and accountants, for example) tend to bill in 6 minutes increments (1/10th of an hour). Further, they usually lump together all work on a client's matter in one block of time to arrive at total time expended during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amount charged by Ms. Mickel is too much - partly based on my review of her accounts but also in considering the amount involved. A total of $1,726 is claimed for Ms. Mickel's services. The total settlement amount was $13,500. Although I agree that Ms. Park required the services of an interpreter, consideration ought to have been given to how best to provide her with those services given the amount at stake (see </w:t>
      </w:r>
      <w:r>
        <w:rPr>
          <w:rFonts w:ascii="arial" w:eastAsia="arial" w:hAnsi="arial" w:cs="arial"/>
          <w:i/>
          <w:color w:val="000000"/>
          <w:sz w:val="20"/>
          <w:lang w:val="en-US" w:eastAsia="en-US" w:bidi="ar-SA"/>
        </w:rPr>
        <w:t>Kern Chevrolet Oldsmobile Ltd. v. Canadian Pacific Ltd.</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(1986), 7 B.C.L.R. (2d) 170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a reasonable amount for necessary interpretation services in the circumstances of this case is the sum of $750, plus taxes, if applicable and that is the amount I will allow.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conceded non-taxable disbursements of $773.50 and taxable ones totalling $471.87.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allowed the plaintiff the following disbursements: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8" type="#_x0000_t75" style="width:322.8pt;height:171pt">
            <v:imagedata r:id="rId839" o:title=""/>
          </v:shape>
        </w:pict>
      </w:r>
      <w:r>
        <w:rPr>
          <w:rFonts w:ascii="arial" w:eastAsia="arial" w:hAnsi="arial" w:cs="arial"/>
          <w:sz w:val="20"/>
          <w:lang w:val="en-US" w:eastAsia="en-US" w:bidi="ar-SA"/>
        </w:rPr>
        <w:t xml:space="preserve">  </w:t>
      </w:r>
      <w:r>
        <w:pict>
          <v:shape id="_x0000_i1189" type="#_x0000_t75" style="width:323.4pt;height:267pt">
            <v:imagedata r:id="rId840"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the hearing there was some issue as to the appropriate taxes to be paid and on what disbursements. Those issues were not resolved during the hearing. Accordingly, I have not done the final math in this matter. I assume the parties will be able to agree on the final number. If not, they may set the matter before me to assist with the calculations. If a certificate is required, both parties must endorse it to confirm their agreement with the calculation of the final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K.S. SAINTY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46 has been corrected 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[46] Local transportation and binding (office supplies) are considered to be items of overhead and I will not allow them: </w:t>
      </w:r>
      <w:r>
        <w:rPr>
          <w:rFonts w:ascii="arial" w:eastAsia="arial" w:hAnsi="arial" w:cs="arial"/>
          <w:i/>
          <w:color w:val="000000"/>
          <w:sz w:val="20"/>
          <w:lang w:val="en-US" w:eastAsia="en-US" w:bidi="ar-SA"/>
        </w:rPr>
        <w:t>Parent v. Lohia</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2012 BCSC 1677</w:t>
        </w:r>
      </w:hyperlink>
      <w:r>
        <w:rPr>
          <w:rFonts w:ascii="arial" w:eastAsia="arial" w:hAnsi="arial" w:cs="arial"/>
          <w:color w:val="000000"/>
          <w:sz w:val="20"/>
          <w:lang w:val="en-US" w:eastAsia="en-US" w:bidi="ar-SA"/>
        </w:rPr>
        <w:t xml:space="preserve"> (Registrar), at para. 60;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1751</w:t>
        </w:r>
      </w:hyperlink>
      <w:r>
        <w:rPr>
          <w:rFonts w:ascii="arial" w:eastAsia="arial" w:hAnsi="arial" w:cs="arial"/>
          <w:color w:val="000000"/>
          <w:sz w:val="20"/>
          <w:lang w:val="en-US" w:eastAsia="en-US" w:bidi="ar-SA"/>
        </w:rPr>
        <w:t xml:space="preserve"> (Registrar), at para. 38; </w:t>
      </w:r>
      <w:r>
        <w:rPr>
          <w:rFonts w:ascii="arial" w:eastAsia="arial" w:hAnsi="arial" w:cs="arial"/>
          <w:i/>
          <w:color w:val="000000"/>
          <w:sz w:val="20"/>
          <w:lang w:val="en-US" w:eastAsia="en-US" w:bidi="ar-SA"/>
        </w:rPr>
        <w:t>Emerick v. Timberlands Properties Inc.</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2012 BCSC 349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Chow v. Nguyen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2012 BCSC 729</w:t>
        </w:r>
      </w:hyperlink>
      <w:r>
        <w:rPr>
          <w:rFonts w:ascii="arial" w:eastAsia="arial" w:hAnsi="arial" w:cs="arial"/>
          <w:color w:val="000000"/>
          <w:sz w:val="20"/>
          <w:lang w:val="en-US" w:eastAsia="en-US" w:bidi="ar-SA"/>
        </w:rPr>
        <w:t xml:space="preserve"> (Registrar), at para. 3.</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Paskalidis v. Caprice Hospitality Inc. (c.o.b. Caprice Nightclub), [2011] B.C.J. No. 2391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 Paskalidis, Plaintiff, and Caprice Hospitality Inc. doing business as The Caprice Nightclub, Joseph Stimac, Monty Cahley and Anthony Fabiano,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31"/>
      <w:bookmarkEnd w:id="213"/>
      <w:r>
        <w:rPr>
          <w:rFonts w:ascii="arial" w:eastAsia="arial" w:hAnsi="arial" w:cs="arial"/>
          <w:b/>
          <w:color w:val="000000"/>
          <w:sz w:val="20"/>
          <w:lang w:val="en-US" w:eastAsia="en-US" w:bidi="ar-SA"/>
        </w:rPr>
        <w:t>Damages — Physical and psychological injuries — Body injuries — Head injuries — Jaw — Action by plaintiff for damages for battery allowed against nightclub and three bouncers — Plaintiff sustained broken jaw and ribs in altercation outside nightclub as he voluntarily left — Bouncers acted in concert in using excessive force on plaintiff — Plaintiff awarded $45,000 for pain and suffering and $160 in special damages for physiotherapy costs — Plaintiff underwent two surgeries for jaw and experienced pain for two years after incident.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Special damages — Expenses and expenditures — Therapy or rehabilitation — Non-pecuniary loss — Pain and suffering — Action by plaintiff for damages for battery allowed against nightclub and three bouncers — Plaintiff sustained broken jaw and ribs in altercation outside nightclub as he voluntarily left — Bouncers acted in concert in using excessive force on plaintiff — Plaintiff awarded $45,000 for pain and suffering and $160 in special damages for physiotherapy costs — Plaintiff underwent two surgeries for jaw and experienced pain for two years after incident.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Battery — Defences — Ejection of visitor — Action by plaintiff for damages for battery allowed against nightclub and three bouncers — Plaintiff sustained broken jaw and ribs in altercation outside nightclub — Bouncers acted in concert in using excessive force on plaintiff without justification — Plaintiff would not have taken on three much larger bouncers, and was voluntarily leaving club at time altercation took place — Evidence established plaintiff was thrown, choked and punched by bouncers.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31"/>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Paskalidis for damages arising from a battery that took place at the Caprice nightclub in August 2006. Paskalidis named the owner of the nightclub and three bouncers as defendants. Paskalidis was 33 years old at the time of the incident. He was 5'8" and weighed 160 pounds. He attended Caprice with a friend, Danny, to dance, He had two beers. He was asked by one defendant to put on his jacket when Paskalidis removed it because he was hot. Paskalidis challenged the bouncer because a girl dancing nearby did not have a jacket on, but the bouncer replied the jacket was required because Paskalidis was not a girl. Paskalidis and his friend decided to leave. As they made their way out, another bouncer rubbed up against Paskalidis, attempting to herd them out. Paskalidis asked what the problem was, and the first bouncer arrived, asking if Paskalidis was trying to cause trouble. Paskalidis was choked, pushed up against a wall and thrown outside, where a third bouncer punched him, ultimately breaking his jaw and ribs. Paskalidis spent some days in hospital, had surgery, and spent weeks with his jaw wired shut. He underwent a second surgery months later and experienced headaches and neck pain for two years. The bouncer who herded Paskalidis out admitted he was leaving of his own accord, but refused to leave when he got to the door. He admitted it was possible he bumped into Paskalidis. He did not recall the third bouncer hitting Paskalidis. The first bouncer who had discussed the dress code with Paskalidis testified Paskalidis was verbally aggressive and instigated the shoving match at the door to the nightclub. Another bouncer present denied seeing any punches thrown. The bouncer who allegedly punched Paskalidis agreed he participated in ejecting Paskalidis from the nightclub, but denied ever striking him, claiming he had never struck a patron. While the other bouncers provided written reports as per the nightclub's policy, this bouncer did not. Security video showing the incident was not conclusive.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5" w:name="Holdings of Court_27"/>
            <w:bookmarkEnd w:id="2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Paskalidis was awarded $45,000 in non-pecuniary damages, and $160 in special damages for physiotherapy. The scuffle leading to Paskalidis's injuries took place outside the nightclub as he was leaving voluntarily. The only reasonable explanation for Paskalidis's broken jaw was that he received a blow from one of the bouncers. The court accepted Paskalidis's evidence that the third bounder struck this blow. It was unlikely Paskalidis instituted the altercation with the bouncers who were larger than him and outnumbered him. Regardless of how the altercation started, the force used against Paskalidis was excessive. All the bouncers were jointly and severally liable for Paskalidis's injuries because they acted in concert and aided each other.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25"/>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Liquor Control and Licensing Act, </w:t>
      </w:r>
      <w:hyperlink r:id="rId31" w:history="1">
        <w:r>
          <w:rPr>
            <w:rFonts w:ascii="arial" w:eastAsia="arial" w:hAnsi="arial" w:cs="arial"/>
            <w:i/>
            <w:color w:val="0077CC"/>
            <w:sz w:val="20"/>
            <w:u w:val="single"/>
            <w:shd w:val="clear" w:color="auto" w:fill="FFFFFF"/>
            <w:lang w:val="en-US" w:eastAsia="en-US" w:bidi="ar-SA"/>
          </w:rPr>
          <w:t>RSBC 1996, CHAPTER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7" w:name="Counsel_31"/>
      <w:bookmarkEnd w:id="2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S.P. Grey.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Edmonds.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1"/>
      <w:bookmarkEnd w:id="218"/>
      <w:r>
        <w:pict>
          <v:line id="_x0000_s1194"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W. EHRCKE J."/>
            <w:bookmarkEnd w:id="219"/>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from the defendants for battery in an incident at the Caprice Nightclub on Granville Street, Vancouver, on August 27, 2006.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Caprice Nightclub (the "Club") is operated by the corporate defendant, Caprice Hospitality Inc. The three personal defendants were all employed by the corporate defendant and working as doormen or "bouncers" on the evening in question. It is agreed by all parties that the corporate defendant is liable if and only if one or more of the personal defendants are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he was assaulted by the bouncers at the front entrance of the Club just as he was voluntarily leaving, and that he suffered a broken jaw and rib injuries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accounts given in evidence by the plaintiff and the defendants differ as to the details of the encounter, and as a result, the defendants deny any liability for the plaintiff's injuries. Accordingly, it will be necessary to review the different versions of events from the point of view of the various witnesses. As well, the Club had three security cameras that captured images of some of the events, and that evidence must also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 Leo Paskalidis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Paskalidis is now 38 years old and would have been around 33 at the time of the incident. He is 5' 8" tall and weighs 160 pounds. He works as a mortgage broker, realtor, and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Just after midnight on August 27, 2006, he and a friend, Danny Seng Savang, went to the Caprice Nightclub after having dinner together. Neither of them had consumed any alcohol until they arrived at the Club. Once there, the plaintiff had two beers. He was not intoxicated. He was wearing blue jeans, a jacket, and a silk shirt with short sleeves cut to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spending some time in the Club, Mr. Paskalidis decided to take off his jacket to dance because it was hot. One of the bouncers, Mr. Cahley, told him to put his jacket on. He asked why, and Mr. Cahley said it was because of the dress code. He then asked why one of the women nearby was not also told to put a jacket on, and he was told she did not have to because she is a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Paskalidis testified that he told his friend Danny it was time to go, and he started walking towards the front door, with his jacket on. As he got to the hallway, he removed his jacket again because it was hot and he was on his way out. He stopped at the coat check and asked if Jim or Peter were around. The woman at the coat check did not know who he was talking about, and he said "Never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that point, Mr. Paskalidis noticed one of the security staff, Hnan Sharif, standing very close behind him and rubbing against him. Mr. Paskalidis walked to the front door with his hands down, and he felt a push from behind. He turned and saw his friend Danny walking towards the door. Danny and Mr. Sharif grabbed each other. Mr. Paskalidis was 2-3 feet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Monty Cahley then came through the door, lunged at Mr. Paskalidis and said, "Do you want to fuck with us?" Mr. Cahley grabbed him by the throat, turned him, and pinned him to the door. Mr. Paskalidis pushed Mr. Cahley's face back with an open right hand, and with his fingers splayed. He was holding his jacket in his left hand. He then felt a huge shove from behind, and he was pushed against the brick wall beside the door outside the Club. Mr. Cahley was still choking him, and he was holding him back with his open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Another bouncer, Joseph Stimac grabbed Mr. Pasklalidis' left arm, in which he was still holding his jacket, which contained his wallet.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this point Mr. Paskalidis saw another bouncer, Anthony Fabiano, wind up to strike him. He was hit in his left rib cage and received a blow to his face, which broke his jaw. He felt pain and blood in his mouth. Mr. Cahley still would not stop choking him. He was then thrown out onto the sidewalk. He managed not to fall on his face. He called the police, who came in 5-10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Paskalidis was taken by ambulance to St. Paul's hospital. Constable Lee spoke to him there, and he was later taken to Vancouver General Hospital by ambulance. He says he was there for 7 days, and underwent an operation on his jaw, which required 9 screws and plates. He said his jaw was wired shut for 5-6 weeks, and his weight dropped to 140 pounds. He also had excruciating pain in his ribs, numbness in his fingers and hands, and severe pain in his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Paskalidis reiterated that no one ever asked him to leave. He decided to leave on his own initiative and was in the process of doings so when these incidents occurred. He reiterated that Mr. Sharif rubbed up against him and "herded" him towards the door. Mr. Paskalidis said that at the exit he turned around and asked Mr. Sharif why he was behind him. Then, although he never pushed Mr. Sharif, nevertheless Mr. Sharif shoved him through the door with both hands. Danny Seng Savang asked him what he was doing, and at that point, Mr. Cahley came through the door and said "Do you want to fuck with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Paskalidis was cross-examined about various passages from his examination for discovery. He reiterated that Mr. Fabiano delivered two punches, breaking his jaw and ribs. He agreed that he initially told the police that he had four broken teeth, which turned out not to be the case, but he explained that he did not know the exact nature of the injury to his mouth until he was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Paskalidis also maintained that he was in hospital for 7 days, although the hospital records show an earlier discharge date. I find that Mr. Paskalidis is mistaken in that part of his evidence, but I do not find that fact to seriously detract from the credibility of the essential parts of his evidence about the events on the evening in question at the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Grant Fredericks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Grant Fredericks was called by the defence to testify as an expert witness in assembling and synchronizing video files and interpreting what is depicted in the video. His qualifications are set out in his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marked as Exhibit 3. His written report is Exhibit 4 and a CD he prepared with a compilation of the videos from 3 different security cameras was marked as Exhibit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Fredericks' evidence was helpful in so far as he explained some of the technical aspects of the security video footage. Also helpful was the compilation CD he prepared, which makes it possible to watch simultaneously on a single screen, the images from all three security cameras. The part of his evidence that I did not find helpful was his opinions about what is depicted in the videos. He was not present to personally witness the events shown in the videos, and he does not personally know any of the participants. His opinions are based on viewing the videos multiple times, with the benefit of his expert knowledge of video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his expertise did not put him in a significantly better position to interpret what is shown in the videos than any other careful observer. Thus, for example, at page 8 of his report he writes about the encounter between Mr. Sharif and Mr. Paskalidis at the exit door, as captured on video camera 5.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Sharif stands behind Paskalidis for approximately sixteen seconds. There is no contact between the men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employee, Cahley is seen walking with Mr. Seng Savang toward the exit door.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Paskalidis is seen walking toward the exit door at 00:46:20 (real-time reference produced by me for this report), but stops inside the door and turns towards Sharif. There was no contact between the men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watched that portion of the video multiple times, and in my view it is quite impossible to determine, as Mr. Fredericks purports to do, that throughout this time there was no contact between the two men. The images are distant from the camera, are fuzzy and in dim light, and for the most part, one can barely see Mr. Paskalidis at all, since he is closer to the exit door than Mr. Sharif, and Mr. Sharif's body completely blocks out and obscures any image of Mr. Paskalidis. The opinion that the two men had no contact during this time is not based on anything that an objective observer can see in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Significantly, this unfounded opinion conflicts with the testimony of Mr. Paskalidis that Mr. Sharif was rubbing up against him at the coat check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Fredericks' report then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Sharif is standing facing Paskalidis and with his back toward the inside of the club. Paskalidis is standing with his left side and his back toward the door. At 00:50:00, Paskalidis' head moves down in the image. Sharif does not move. At 00:50:20, Paskalidis' head moves forward toward Sharif and appears to come close to the chest and right shoulder of Sharif as Sharif is moved backward. Paskalidis' action is consistent with pushing Sharif.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Again, numerous careful viewings of the videos leave me unable to discern why at this point Mr. Sharif moves back slightly. From the video, one cannot see Mr. Paskalidis push him. The backward movement could just as likely have been caused by Mr. Seng Savang grabbing his arm when Mr. Sharif pushed against Mr. Paskalidis.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Again, Mr. Fredericks' unfounded opinion is in conflict with the testimony of Mr. Paskalidis, who testified that he was shoved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Overall, I find that Mr. Fredericks' opinion evidence about what he thinks he sees in the videos is largely unfounded and unhelpful. I place little weight on it, particularly when it conflicts with the testimony of witnesses who were present at the time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Fredericks testified that from watching the videos, he did not see any images of Mr. Fabiano striking Mr. Paskalidis in the jaw or ribs, and he did not see any images of Mr. Paskalidis being punched by anyone at any time. However, in cross-examination, Mr. Fredericks admitted that the view from camera 4 does not show all of the action, and he cannot say what might have happened outside the camera view. He also admitted in cross-examination that there is a period of about 5 seconds during which Mr. Fabiano's hands are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Again, I find that Mr. Fredericks' opinion evidence about what he thinks he can or cannot see on the videos is of little assistance in determining whether Mr. Paskalidis was struck, and if so, by whom. The videos are blurry, poorly lit, and do not show complete motion, since they were filmed at only three frames per second. It is not easy to decipher what they show or do not show, but I am unable to find that Mr. Fredericks is in a significantly better position to offer an opinion about what is depicted than any other careful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John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John Wong was on duty as the general manager of the Club that evening. At the request of the police, he provided copies of the video from security cameras 3, 4, and 5. However, he entered the incorrect starting time for one of the videos, and as a result, the video from camera 4 is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Wong testified that Club policy required all of the security staff who were involved in the incident to provide a written incident report. Although he was satisfied that Mr. Fabiano was involved, he never received an incident report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Constable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Lee is a member of the Vancouver Police who investigated this incident following the 911 call from Mr. Paskalidis. He attended at the Club and met Mr. Paskalidis, who was upset and who told him that he had been assaulted. Mr. Paskalidis was spraying blood from his mouth as he spoke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Lee watched the security videos with Mr. Wong, and he requested copies. The copy of video 4 turned out to be incomplete, but Constable Lee did not know this until sometime later because he never checked the copy that Mr. Wong had provided to him. When Constable Lee was later informed by other investigators that video 4 was incomplete, he requested another copy from Mr. Wong. What he received, however, was not a complete copy of video 4, but rather a longer copy of video 5. Again, he never checked the additional copy that he was given, and therefore, no complete copy of video 4 has been produced. According to John Wong, the original hard drive containing that video has long since been erased.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Constable Lee and John Wong testified that they watched the entire video from camera 4 and the other videos on the night in question, and did not see anyone hitting Mr. Paskalidis. Given the carelessness that both of them exhibited in failing to produce a full and complete copy of video 4, I place little weight on their recollections of what they think they remember from watching the videos more than five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Hnan Sharif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Hnan Sharif is 6' 6" tall and weighs 250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testified that he was working as a doorman at the Club on August 26, 2006, and near the end of his shift he was notified that someone had taken off some clothing. He approached Mr. Paskalidis, told him his dress was inappropriate, and that he would have to leave. He followed him to the door, but did not have any contact with him. At the door, Mr. Paskalidis turned and would not leave. According to Mr. Sharif, Mr. Paskalidis pushed him, and he pushed back. Danny Seng Savang then stepped between them, and he turned his attention to him. By this time, Mr. Paskalidis was outside the door being restrained by Mr. Cahley. Mr. Sharif saw a bit of a scuffle in which Mr. Stimac was also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he agreed that Mr. Paskalidis was leaving the Club on his own accord, voluntarily, but refused to leave when he got to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Sharif said that he prepared a written incident report for the Club that night, as did Mr. Cahley and Mr. Stimac. He said they were all in the same room when they wrote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Sharif agreed in cross-examination that it is possible that he bumped into Mr. Paskalidis. He said it is also possible that Mr. Paskalidis did not push him, but merely bumped. He said he did not remember anything specific about the scuffle outside, because he was restraining Mr. Seng Savang, who had pushed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Sharif agreed that he did not know how the scuffle outside started. He said he did not remember Mr. Fabiano being present, but having now seen the video, he agrees that he was involved in the struggle with Mr. Stimac, Mr. Cahley, and Mr. Paskalidis.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was asked about that part of the incident where Mr. Paskalidis was thrown towards the sidewalk. He said bouncers are not supposed to throw someone onto the sidewalk, because they can get hurt. He said they are trained not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Monty Cahley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Monty Cahley was working as a security guard at the Club that night in August 2006. He is 6' tall and weighed about 205 pounds at that time. He noticed the plaintiff at the downstairs bar wearing a sleeveless shirt, contrary to the dress code. He asked him to put his jacket back on, but he did not. He said that Mr. Paskalidis became verbally aggressive. He told him that if he did not like the Club's policy, he was more than welcome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Paskalidis then put his jacket on and started to leave the Club. As he walked to the front doors, he took his jacket off again and then proceeded to the coat check area. Mr. Paskalidis then went to the doorway, turned, and shoved Mr. Sharif, who pushed him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Cahley said he stepped in between them, and the plaintiff grabbed at his throat. He swept his hand away, and the plaintiff then put his hand in his eyes. Mr. Cahley received assistance from Mr. Stimac and Mr. Fabiano. He reached around the plaintiff's waist, lifted him up, and carried him to the ropes. He denied putting his hand on the plaintiff's throat or banging his head against the door. He said none of them struck Mr. Paskalidis even once. In cross-examination he said it is improbable that someone struck Mr. Paskalidis without his seeing it because he does not believe that the staff would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Joseph Stimac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Joseph Stimac was working outside as a doorman at the Club on the night in question. He did not see how the incident started. When he first saw the plaintiff, he was already struggling with Mr. Cahley and Mr. Fabiano at the entrance doors. He assisted them by holding the plaintiff's arms. He does not recall any words being spoken during the struggle and did not see any blood. He did not see Mr. Fabiano punch the plaintiff in the jaw, nor did he see Mr. Cahley push his head against the door frame. Mr. Cahley grabbed the plaintiff around the waist and escorted him onto the Granville Street sidewalk. The police then came, and placed Mr. Stimac in handcuffs, but he was released after 15 or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Mr. Stimac agreed that he is unable to say if anyone threw any punches before he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Antonio Fabiano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Antonio Fabiano was working as an outside doorman for the Club that evening. He was stationed at the front door, letting people in and checking their 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was examined for discovery on June 9, 2008. At that time he recalled little about the incident, except that two of his colleagues, Mr. Stimac and Mr. Cahley, had been placed in handcuffs for a period of time. Mr. Fabiano did not recall having any contact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trial, he said that his recollection of that night was still hazy and vague, but having now seen the video, he agreed that he participated in the ejection of the plaintiff. He testified that he did not strike the plaintiff, even once. He said he has participated in thousands of ejections and has never struck a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convenient and accurate summary of the law in relation to assault, battery, and self-defence may be found in </w:t>
      </w:r>
      <w:r>
        <w:rPr>
          <w:rFonts w:ascii="arial" w:eastAsia="arial" w:hAnsi="arial" w:cs="arial"/>
          <w:i/>
          <w:color w:val="000000"/>
          <w:sz w:val="20"/>
          <w:lang w:val="en-US" w:eastAsia="en-US" w:bidi="ar-SA"/>
        </w:rPr>
        <w:t>Buchy v. Villars</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2008 BCSC 385</w:t>
        </w:r>
      </w:hyperlink>
      <w:r>
        <w:rPr>
          <w:rFonts w:ascii="arial" w:eastAsia="arial" w:hAnsi="arial" w:cs="arial"/>
          <w:color w:val="000000"/>
          <w:sz w:val="20"/>
          <w:lang w:val="en-US" w:eastAsia="en-US" w:bidi="ar-SA"/>
        </w:rPr>
        <w:t xml:space="preserve">, aff'd </w:t>
      </w:r>
      <w:hyperlink r:id="rId849" w:history="1">
        <w:r>
          <w:rPr>
            <w:rFonts w:ascii="arial" w:eastAsia="arial" w:hAnsi="arial" w:cs="arial"/>
            <w:i/>
            <w:color w:val="0077CC"/>
            <w:sz w:val="20"/>
            <w:u w:val="single"/>
            <w:shd w:val="clear" w:color="auto" w:fill="FFFFFF"/>
            <w:lang w:val="en-US" w:eastAsia="en-US" w:bidi="ar-SA"/>
          </w:rPr>
          <w:t>2009 BCCA 519</w:t>
        </w:r>
      </w:hyperlink>
      <w:r>
        <w:rPr>
          <w:rFonts w:ascii="arial" w:eastAsia="arial" w:hAnsi="arial" w:cs="arial"/>
          <w:color w:val="000000"/>
          <w:sz w:val="20"/>
          <w:lang w:val="en-US" w:eastAsia="en-US" w:bidi="ar-SA"/>
        </w:rPr>
        <w:t>, at paras. 109-112: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This brings us to the plaintiff's cause of action in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I will first deal with the claim in assault or, more accurately, as the defendant Villars struck a blow to the plaintiff, the tort of battery.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The tort was discussed by the Supreme Court of Canada in </w:t>
      </w:r>
      <w:r>
        <w:rPr>
          <w:rFonts w:ascii="arial" w:eastAsia="arial" w:hAnsi="arial" w:cs="arial"/>
          <w:i/>
          <w:color w:val="000000"/>
          <w:sz w:val="20"/>
          <w:lang w:val="en-US" w:eastAsia="en-US" w:bidi="ar-SA"/>
        </w:rPr>
        <w:t>Mann v. Balaban et al.</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[1970] S.C.R. 74</w:t>
        </w:r>
      </w:hyperlink>
      <w:r>
        <w:rPr>
          <w:rFonts w:ascii="arial" w:eastAsia="arial" w:hAnsi="arial" w:cs="arial"/>
          <w:color w:val="000000"/>
          <w:sz w:val="20"/>
          <w:lang w:val="en-US" w:eastAsia="en-US" w:bidi="ar-SA"/>
        </w:rPr>
        <w:t xml:space="preserve"> and, in particular, the onus on the defendant pleading self-defence was noted by Justice Spence for the majority (at p. 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an action for assault, it has been, in my view, established that it is for the plaintiff to prove that he was assaulted and that he sustained an injury thereby. The onus is upon the plaintiff to establish those facts before the jury. Then it is upon the defendant to establish the defences, firstly, that the assault was justified and, secondly, that the assault even if justified was not made with any unreasonable force and on those issues the onus is on the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While the parties cited a number of cases on the issue of self-defence, I believe an accurate summary of the law is contained in Linda D. Rinaldi, ed.,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Carswell, 1987) vol. 1 at 2-30 to 2-31 (footnotes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Self-Defence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 "The law gives every one the right to defend himself against either a threatened or an actual attack from another. The right of self-defence proceeds from and is limited by the necessity to ward off the danger of such an attack. Therefore the right of self-defence commences when the necessity for such defence begins and it terminates when the necessity for such self-defence comes to an end. The law, however, requires that the force used in defending oneself must not he out of proportion to the severity of the attack. An attack by fists may be answered by fists but not with deadly weapons such as knives and guns. In exercising the right of self-defence one must use only such force as on reasonable grounds the person attacked believes to be necessary for his own defence. In short, self-defence means defence, not counter-attack."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 Self-defence is usually pleaded as a defence to a battery action where the defendant has struck the plaintiff in response to an attack or perceived attack by the plaintiff. It is a complete defence. If the defendant reasonably perceives an attack to be imminent, he may still be entitled to rely on self- defence although he has struck the first blow. However, force may only be used to repel or prevent an attack, not to punish an aggressor for past actions or as a guise for a counter-attack.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 In preventing or repelling an attack, no more than reasonable force may he used. What is reasonable depends on the facts and circumstances of the case, including the nature and seriousness of the attack or threatened attack, the relative size and strength of the combatants, and whether the acts complained of took place after the threat was averted. The seriousness of the resulting injury is not necessarily indicative of the use of unreasonable force, as even acts which cause serious injury may be justified as self- defence: "it has long been held that an attacked person defending himself and confronted with a provoking situation is not held down to measure with exactitude or nicety the weight or power of his blows." Where a person uses more than reasonable force, he himself may he liable for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Applying the law to the evidence, I make the following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scuffle between the defendants and the plaintiff occurred after the plaintiff was outside the front door of the Club. It is clear from the testimony of Mr. Sharif that Mr. Paskalidis was leaving the Club voluntarily of his own accord and had reached the front door before there was any confrontation. This is confirmed by watching the video. The scuffle did not start until Mr. Paskalidis was at the front door. He was outside of the Club, although still on Club property, between the front door and the public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that the plaintiff's jaw was broken during that scuffle that took place after he was outside the front door of the Club. Clearly, his injuries had not yet occurred during the interaction between the plaintiff and Mr. Sharif when he was still inside the Club. Constable Lee confirms that the plaintiff was spitting blood when he spoke with him a few minutes later. From the video, it is clear that although the plaintiff was thrown to the sidewalk, he did not strike his head or face. He immediately called 911. Constable Lee arrived within a few minutes. The plaintiff's testimony is that he received his injuries during the scuffle outside the front door. I accept that that is true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What is more difficult is to determine the precise moment when his jaw was broken. The position of the defence is that when looking at the videos, one cannot see a specific blow that would be the cause of the broken jaw. On the other hand, the videos do not constitute a complete record of the interaction between the defendants and the plaintiff outside the door of the Club. This is so for three reasons. First, the videos were recorded at only three frames per second. Because the incident took place very quickly, this means that there are unrecorded gaps in the action from one frame to the next. Second, the video cameras were positioned in such a way that there is an area by the front door that is not visible. It appears that Mr. Fabiano was standing in this blind spot, and therefore we do not have a complete record of his actions, or indeed of anything else that occurred in that blind spot. Third, the video from camera number 4 is truncated. That video only commences several seconds after the confrontation in front of the door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video, therefore, does not persuade me that the plaintiff's injuries were not caused by a blow or blows from the defendants. On the contrary, I am satisfied that there is no other reasonable explanation of how the plaintiff could have sustained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testified that he saw Mr. Fabiano strike the blows that broke his jaw and that caused injury to his ribs. Mr. Stimac and Mr. Cahley testified that they did not strike such blows. Mr. Fabiano testified at his examination for discovery that he had little recollection of these events. At trial he said that he did not recall that he was involved until he saw the videos, but he now agrees that he participated in the plaintiff's ejection. He said his present recollection is hazy and vague. He denied striking the plaintiff, yet this denial was not based on a recollection of the event, but rather on his general statement that he has never struck any patron. Unlike the other defendants, Mr. Fabiano did not prepare a contemporaneous written incident report, even though this was required by Club policy. His failure to do so remains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From a consideration of all the evidence, I am satisfied on a balance of probabilities that the testimony of Mr. Paskalidis is accurate when he says that his injuries were caused by blows inflicted by Mr. Fabiano. I make this finding notwithstanding the video record, which I have found to be incomplete for the reasons stated above, and notwithstanding the testimony of Mr. Fabiano, whose testimony is of dubious reliability due to his hazy recollection and his failure to follow Club policy requiring a written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next issue is whether the conduct that resulted in the injuries to Mr. Paskalidis were justified in some way. I am satisfied that they were not. I have already found as a fact that the plaintiff was leaving the Club voluntarily and had reached the front door before any trouble started. Something then occurred at the front door, which is undocumented by the video camera evidence. It is possible that Mr. Paskalidis said something to the defendants that they took exception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it unlikely that he initiated a physical struggle by pushing or striking anyone before he himself was pushed or struck. First, this finding is consistent with Mr. Paskalidis' testimony. Second, it is clear now, and it would have been clear to Mr. Paskalidis at the time, that the defendants were much bigger than he is, and that they significantly outnumbered him. It would have been folly for him to strike one of them. Moreover, he had no reason to push or strike anyone since he was leaving the Club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whatever manner the incident started, I find that the force used was excessive. The videos do not show Mr. Paskalidis throwing any punches. His hand is in the face of Mr. Cahley, but this is to push him away, not to strike or injure him. Moreover, throughout the struggle, Mr. Paskalidis has the use of only his right hand. His left hand is holding onto his jacket throughout. Had Mr. Paskalidis been motivated to fight with the defendants, he would have dropped his jacket in order to have the use of both his arms. What we are left with, then, is a struggle between three large and strong bouncers, and the plaintiff, whose ability to engage in a fight is limited by the fact that he has the use of only one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it is significant that by the time the scuffle started, Mr. Paskalidis had already voluntarily made his way outside the front door. Although he was still on Club property, this is not a case in which the use of force was required in order to get an unruly patron out of the Club's interior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the circumstances, I find that the force used against the plaintiff was unreasonable, unjustified, and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Although the blows that caused the injuries were thrown by Mr. Fabiano, I find that the defendants were acting in concert and aiding each other in this enterprise and are jointly and severally liable. This is not a case where their actions are justified as either self-defence or defence of another, nor are their actions justified or excused by the provisions of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seeks general damages, special damages, and aggravated and punitive damages. He does not seek damages for lost income, either past or future, nor does he seek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claim for special damages is limited to $160 for physiotherapy treatment. I am satisfied that is appropriate, and I make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seeks an award for general or non-pecuniary damages in the amount of $100,000. The defendants submit that that is excessive, and a much more modest award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 to the plaintiff's testimony, he suffered a broken jaw and rib injuries as a result of the punches he received. He testified that he had an initial surgery for his broken jaw, and then subsequent surgery about 6 months later to remove the hardware from his face. He said he suffered headaches and neck pain for 2-3 years, and had restricted motion of his neck. He said that his fingers still feel numb sometimes.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number of medical reports were filed on behalf of the plaintiff. Dr. Salvian provided an independent medical report dated January 5, 2007, based on medical records and an examination of Mr. Paskalidis on January 2, 2007. He found no evidence of cervical spine injury or disc disease, but opined that the symptoms of numbness and tingling could be attributed to thoracic outlet syndrome related to the incident at the Club. As to prognosis,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only comment on his paresthesias (numbness and tingling) in the arm. These symptoms seem to be getting better. They were constant and they were present during the day and frequently at night. Now they occur only at night and he is sleeping much better. The injury now was about four months ago and I suspect that he will continue to improve if he follows the conservative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Michelle Williams prepared a medical/legal report dated July 29, 2011, based on her consultation with Mr. Paskalidis on January 25, 2011. Dr. Williams is a dentist with a specialty in oral medicine, and her report deals with the injuries to the plaintiff's mouth. Under the heading "Assessment"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Paskalidis was involved in an altercation on August 27, 2006. I did not have the opportunity to evaluate him at or around that time and, as such, am unable to comment with certainty on the specifics of the initial injury. Records reviewed clearly document mandibular fractures requiring surgical repair. Post operatively Mr. Paskalidis expressed concerns regarding residual facial asymmetries, altered lip and chin sensation, jaw related pain and an altered occlusion. Facial asymmetries have been well address[ed] by Dr. K. Bush (plastic surgeon) and altered lip and chin sensation have been well addressed by Dr. R. Keyes (neurologist). I will defer to their expert opinions in this regard. Specific to the jaw related symptoms it is my opinion that Mr. Paskalidis has developed a temporomandibular (TM) disorder. Clinical and radiographic findings support the presence of an internal derangement of the left TM joint, a left TM joint arthralgia and myofascial pain involving the left side masticatory musculature. At the time of assessment findings were considered mild to moderate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Under "Suggested Management" she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there is no related indication for orthodontic, surgical or restorative initiatives.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her Summary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Paskalidis was involved in an altercation on August 27, 2006 in which he sustained traumatic mandibular fractures requiring surgical repair. It is my opinion that this accident was the precipitating event for the development of the symptomatic jaw disorder described. Although improved there are ongoing symptoms requiring conservative TM therapy, including occlusal appliance wear. Although professional supervision is indicated during the initial phase of treatment (six to twelve months) the main emphasis is on self-care.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had the opportunity to evaluate Mr. Paskalidis' response to care and, as such, am unable to comment, with certainty, on his prognosis at this time. In similar circumstances the prognosis is favourable for gradual and progressive improvement in residual jaw-related symptoms over time. Whether complete symptom resolve will ever be achieved remains unclear. In isolation his TM condition has not been disabling. It should not impair her choice of work-related or leisure time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have referred me to a number of cases involving the assessment of damages for somewhat similar injuries in somewhat similar circumstances,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Lyons v. Kingstreet Investments Ltd.</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2001 NBQB 138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Culver v. 624671 B.C.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2006 BCSC 1241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Tootoosis v. John Doe</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2006 SKQB 75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Lawrence v. John B. Pub Ltd.</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[1997] B.C.J. No. 1158</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1997 CarswellBC 1091</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Besic v. Kerenyi</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2011 BCSC 1277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Singh v. Clay</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2011 BCSC 1172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Albus v. Stevenson</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2001 SKQB 574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Miclash v. Canada</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2003 FCT 113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Smith v. Doucette</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2006 NSSC 67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Leighton v. Best</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[2009] O.J. No. 2145</w:t>
        </w:r>
      </w:hyperlink>
      <w:r>
        <w:rPr>
          <w:rFonts w:ascii="arial" w:eastAsia="arial" w:hAnsi="arial" w:cs="arial"/>
          <w:color w:val="000000"/>
          <w:sz w:val="20"/>
          <w:lang w:val="en-US" w:eastAsia="en-US" w:bidi="ar-SA"/>
        </w:rPr>
        <w:t xml:space="preserve"> (Sup. Ct.);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Glover v. Fell</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[1999] B.C.J. No. 1333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awards for non-pecuniary damages in those cases were between $10,000 and $65,000, with most clustering in the range of $25,000 to $40,000. Given the nature of the assault and the nature of the injuries suffered by Mr. Paskalidis, I assess and award him non-pecuniary damages in the amount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am not satisfied that an award should be made for aggravated or punitive damages. This was a very brief incident where emotions ran high and the defendants overreacted resulting in the use of excessive force. I am not satisfied that there was a deliberate attempt to humiliate the plaintiff or that he is entitled to compensation for hurt feelings caused by the nature of the defendants' conduct. The objectives of punitive damages are sufficiently met in the award of compensatory damages: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All the defendants are jointly and severally liable for the assault on Mr. Paskalidis. The plaintiff is awarded special damages of $160 and general damages of $45,000. I make no award for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Reid v. British Columbia (Egg Marketing Board), [2003] B.C.J. No. 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and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L020056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 B.C.L.R. (4th)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Alfred Reid and Olera Farms, plaintiffs, and The British Columbia Egg Marketing Board,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2"/>
      <w:bookmarkEnd w:id="220"/>
      <w:r>
        <w:rPr>
          <w:rFonts w:ascii="arial" w:eastAsia="arial" w:hAnsi="arial" w:cs="arial"/>
          <w:b/>
          <w:color w:val="000000"/>
          <w:sz w:val="20"/>
          <w:lang w:val="en-US" w:eastAsia="en-US" w:bidi="ar-SA"/>
        </w:rPr>
        <w:t>Practice — Persons who can sue and be sued — Individuals and corporations, status or standing — Class or representative actions, for damages — Class or representative actions, general principles — Class actions, certification, considerations (incl. when class action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32"/>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certification of their proposed class action against the respondent Egg Marketing Board. The plaintiffs were producers of organic eggs, and opposed the Board's decision that it had jurisdiction to regulate the organic egg industry. The plaintiffs had appealed the decision to the British Columbia Marketing Board, which had not yet rendered its decision. They claimed that the Board did not have jurisdiction, and also brought an action framed in tort for interference with economic interests and abuse of public office. The Board opposed the application. It claimed that the relief sought was declaratory in nature, that there were other proceedings in progress with respect to the same subject matter, and that the plaintiffs had not established that a class proceeding was the preferable procedure. It further claimed that the tort claims were inherently individualistic and discrete, and therefore did not deal with common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8"/>
            <w:bookmarkEnd w:id="22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existence and pursuance of other avenues of relief did not bar the class proceeding. With respect to the claims put forward, there were simply insufficient details to establish that all putative class members were interested in all claims. The pleadings dealt with the common issues in very general terms. Thus the plaintiffs had not established that a class action was the preferable procedure.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26"/>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ss. 1, 1(a), 1(b), 4(1), 4(1)(a), 4(1)(b), 4(1)(c), 4(1)(d), 4(1)(e), 4(1)(e)(i), 4(1)(e)(ii), 4(1)(e)(iii), 4(2), 4(2)(a), 4(2)(b), 4(2)(c), 4(2)(d), 4(2)(e), 7, 7(a), 7(b), 7(c), 7(d), 7(e).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2"/>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 Baker, for the plaintiffs. R.P. Hrabinsky,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2"/>
      <w:bookmarkEnd w:id="225"/>
      <w:r>
        <w:pict>
          <v:line id="_x0000_s1199"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HOLMES J."/>
            <w:bookmarkEnd w:id="226"/>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Alfred Reid and Olera Farms apply for the certification as a class proceeding of their action against the B.C. Egg Marketing Board, and for consequential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Board opposes the application on the basis that a class proceeding is not the "preferable procedure for the fair and efficient resolution of the common issues", as required by the British Columbia Class Proceedings Act. The Board says that at the heart of the action is the scope of the Board's jurisdiction, an issue best suited to a simple declaratory judgment with province-wide binding effect. The Board says that to the extent that the action also alleges torts and damages, the claims are intrinsically individualistic and will inevitably reduce to discrete adjudications for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allege that the Board lacks jurisdiction to regulate the production of organic eggs, as opposed to conventional table eggs, and that in the course of its effort to assert regulatory authority over the organic egg industry, the Board injured the plaintiffs and the proposed class members by unlawfully interfering with their economic interests (including by misusing their confidential information and expropriating their property without compensation) and through 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allege that even if the Board had jurisdiction to regulate the plaintiffs and the proposed class members, the Board committed the above-mentioned torts in its exercise of that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 nutshell, the plaintiffs say that the Board, having initially taken no interest in or regulatory responsibility for the organic egg industry, wrongfully intervened when the industry began to flourish. They say that the Board deliberately and systematically set about to destroy the livelihood of organic producers and graders in British Columbia, and to transfer their opportunity and markets to conventional egg producers.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Board by way of counterclaim seeks the plaintiffs' compelled participation in its regulatory scheme and the payment of license fees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Subsection 4(1) of the Class Proceedings Act requires the court to certify an action as a class proceeding where these five requirements are all met:</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issues" are defined by s. 1 as: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7 states that a court must not refuse to certify a proceeding on the basis of any of the following factors: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main issue in this application is whether a class proceeding is "the preferable procedure for the fair and efficient resolution of the common issues" within the meaning of s. 4(1)(d), and I will turn directly to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PREFERABLE PROCEDURE" -- Section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determining under paragraph (4)(1)(d) whether a class proceeding would be the preferable procedure for the fair and efficient resolution of the common issues, the court is to consider all relevant matters, including the five specifically set out in subsection 4(2):</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proceedings would involve claims that are or have been the subject of any other proceedings;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claims are less practical or less efficient;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Board submits that a class proceeding is not the preferable procedure for the fair and efficient resolution of the common issues because: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in this case are intrinsically individualistic, and would inevitably reduce to discrete adjudications for each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declaratory relief the plaintiffs seek would have effect far beyond the scope of the proposed class and sub-class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avenues exist, and are being taken, for the resolution of the proper construction of the B.C. Egg Marketing Scheme, 1967 (</w:t>
      </w:r>
      <w:hyperlink r:id="rId870" w:history="1">
        <w:r>
          <w:rPr>
            <w:rFonts w:ascii="arial" w:eastAsia="arial" w:hAnsi="arial" w:cs="arial"/>
            <w:i/>
            <w:color w:val="0077CC"/>
            <w:sz w:val="20"/>
            <w:u w:val="single"/>
            <w:shd w:val="clear" w:color="auto" w:fill="FFFFFF"/>
            <w:lang w:val="en-US" w:eastAsia="en-US" w:bidi="ar-SA"/>
          </w:rPr>
          <w:t>B.C. Reg. 173/67</w:t>
        </w:r>
      </w:hyperlink>
      <w:r>
        <w:rPr>
          <w:rFonts w:ascii="arial" w:eastAsia="arial" w:hAnsi="arial" w:cs="arial"/>
          <w:color w:val="000000"/>
          <w:sz w:val="20"/>
          <w:lang w:val="en-US" w:eastAsia="en-US" w:bidi="ar-SA"/>
        </w:rPr>
        <w: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would involve claims that are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discuss the latter three concerns together and first.</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Avenues and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Board notes that the present proceeding is but one of three proceedings among the same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One such proceeding arises from the Board's formal determination that the plaintiffs are subject to the Board's egg marketing scheme and are in contravention of the Board's standing order by their failure to pay marketing licence fees. The plaintiffs take the position that the Board lacks jurisdiction over organic eggs, as opposed to conventional table eggs, and accordingly has no authority to impose the licensing fees. The plaintiffs appealed the Board's determination to the B.C. Marketing Board, which reserved its decision. An appeal from the Marketing Board's decision lies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other proceeding is brought in this Court. In it, the Board seeks to enforce against the plaintiffs the standing order it issued in respect of unpaid fees and levies. The plaintiffs again assert a lack of jurisdiction in the Board in relation to the production of organic eggs, as opposed to conventional table eggs.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earlier reasons at </w:t>
      </w:r>
      <w:hyperlink r:id="rId148" w:history="1">
        <w:r>
          <w:rPr>
            <w:rFonts w:ascii="arial" w:eastAsia="arial" w:hAnsi="arial" w:cs="arial"/>
            <w:i/>
            <w:color w:val="0077CC"/>
            <w:sz w:val="20"/>
            <w:u w:val="single"/>
            <w:shd w:val="clear" w:color="auto" w:fill="FFFFFF"/>
            <w:lang w:val="en-US" w:eastAsia="en-US" w:bidi="ar-SA"/>
          </w:rPr>
          <w:t>[2002] B.C.J. No. 1861</w:t>
        </w:r>
      </w:hyperlink>
      <w:r>
        <w:rPr>
          <w:rFonts w:ascii="arial" w:eastAsia="arial" w:hAnsi="arial" w:cs="arial"/>
          <w:color w:val="000000"/>
          <w:sz w:val="20"/>
          <w:lang w:val="en-US" w:eastAsia="en-US" w:bidi="ar-SA"/>
        </w:rPr>
        <w:t>, I declined to dismiss the present statement of claim as an abuse of process for seeking substantially the same relief as sought in the two other proceedings involving the same parties. However, I noted that a ruling on the jurisdictional issue in other proceedings may at some point have determinative effect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Board's jurisdiction in relation to organic eggs is pivotal in the two other proceedings I have described. It is also central to the present proceedings, as the basis of the declaratory relief sought, and as it relates to the characterization of the Board's conduct in relation to the claims in tort. The Board submits that such duplication raises the concern underlying the consideration set out in paragraph 4(2)(c), "whether the class proceeding would involve claims that are or have been the subject of any other proceedings", and that the other proceedings are better suited to the efficient and effective resolution of the jurisdictional issue by way of a universally-binding declaratory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respond that the governing jurisprudence does not suggest that the availability of a binding declaratory determination as to a key or threshold issue prevents a class proceeding from being the preferable procedure for the resolution of the common issues. They refer in particular to Howard Estate v. British Columbia </w:t>
      </w:r>
      <w:hyperlink r:id="rId871" w:history="1">
        <w:r>
          <w:rPr>
            <w:rFonts w:ascii="arial" w:eastAsia="arial" w:hAnsi="arial" w:cs="arial"/>
            <w:i/>
            <w:color w:val="0077CC"/>
            <w:sz w:val="20"/>
            <w:u w:val="single"/>
            <w:shd w:val="clear" w:color="auto" w:fill="FFFFFF"/>
            <w:lang w:val="en-US" w:eastAsia="en-US" w:bidi="ar-SA"/>
          </w:rPr>
          <w:t>(1999), 66 B.C.L.R. (3d) 199</w:t>
        </w:r>
      </w:hyperlink>
      <w:r>
        <w:rPr>
          <w:rFonts w:ascii="arial" w:eastAsia="arial" w:hAnsi="arial" w:cs="arial"/>
          <w:color w:val="000000"/>
          <w:sz w:val="20"/>
          <w:lang w:val="en-US" w:eastAsia="en-US" w:bidi="ar-SA"/>
        </w:rPr>
        <w:t xml:space="preserve"> (B.C.S.C.) and Nanaimo Immigrant Settlement Society v. British Columbia </w:t>
      </w:r>
      <w:hyperlink r:id="rId872" w:history="1">
        <w:r>
          <w:rPr>
            <w:rFonts w:ascii="arial" w:eastAsia="arial" w:hAnsi="arial" w:cs="arial"/>
            <w:i/>
            <w:color w:val="0077CC"/>
            <w:sz w:val="20"/>
            <w:u w:val="single"/>
            <w:shd w:val="clear" w:color="auto" w:fill="FFFFFF"/>
            <w:lang w:val="en-US" w:eastAsia="en-US" w:bidi="ar-SA"/>
          </w:rPr>
          <w:t>(2001), 84 B.C.L.R. (3d) 208</w:t>
        </w:r>
      </w:hyperlink>
      <w:r>
        <w:rPr>
          <w:rFonts w:ascii="arial" w:eastAsia="arial" w:hAnsi="arial" w:cs="arial"/>
          <w:color w:val="000000"/>
          <w:sz w:val="20"/>
          <w:lang w:val="en-US" w:eastAsia="en-US" w:bidi="ar-SA"/>
        </w:rPr>
        <w:t xml:space="preserve"> (B.C.C.A.), </w:t>
      </w:r>
      <w:hyperlink r:id="rId872" w:history="1">
        <w:r>
          <w:rPr>
            <w:rFonts w:ascii="arial" w:eastAsia="arial" w:hAnsi="arial" w:cs="arial"/>
            <w:i/>
            <w:color w:val="0077CC"/>
            <w:sz w:val="20"/>
            <w:u w:val="single"/>
            <w:shd w:val="clear" w:color="auto" w:fill="FFFFFF"/>
            <w:lang w:val="en-US" w:eastAsia="en-US" w:bidi="ar-SA"/>
          </w:rPr>
          <w:t>2001 BCCA 75</w:t>
        </w:r>
      </w:hyperlink>
      <w:r>
        <w:rPr>
          <w:rFonts w:ascii="arial" w:eastAsia="arial" w:hAnsi="arial" w:cs="arial"/>
          <w:color w:val="000000"/>
          <w:sz w:val="20"/>
          <w:lang w:val="en-US" w:eastAsia="en-US" w:bidi="ar-SA"/>
        </w:rPr>
        <w:t>, where key threshold constitutional questions which could have been resolved by a declaratory judgment were not a bar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authorities are in my view to be distinguished by the fact that the plaintiffs there sought the recovery of, respectively, the probate and licence fees unlawfully collected. Resolution in the plaintiffs' favour of the threshold issue was a necessary step toward that end but would not, alone, have given them the relief they sought. As was said by counsel for the plaintiffs in Nanaimo Immigrant Settlement Society, the obtaining of a declaration was not the plaintiffs' primary objective; the repayment of their fees was. Here, by contrast, the plaintiffs have remitted no fees or levies to recover. Their monetary claims (for damages) flow not from their jurisdictional claim, but rather from their separate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Were the jurisdictional issue determinative of the present proceedings, I would agree with the Board that a class action is not the "preferable procedure" for the resolution of the common issues. There is no real suggestion that a class proceeding would promote judicial economy or efficiency or would improve the potential plaintiffs' access to justice for the resolution of that discrete issue. A determination in a single plaintiff proceeding as to the Board's jurisdiction to regulate the organic egg industry would be universally binding and further-reaching even than to those contemplated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plaintiffs' claims reach well beyond the jurisdictional issue, and assert torts and resulting damages. The plaintiffs assert their claims in tort whether or not the Board had regulatory jurisdiction, although they recognize that that matter will affect the character of the Board's conduct. They also note that their claims in tort may be brought only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Convenience and efficiency clearly require that the plaintiffs' claims in tort be heard together with their claim that the Board lacks jurisdiction to regulate their industry. In making this observation, I once again note the possibility that the jurisdictional issue forming part of the plaintiffs' present action may be authoritatively resolved either within or outside this proceeding before this proceeding comes to trial. Such a determination would be reflected in the approach to the various issues at trial but, regardless of its conclusion, would not be determinative of the plaintiffs'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these reasons I do not conclude that the availability of other -- and possibly preferable -- avenues for the resolution of one of the plaintiffs' claims, the jurisdictional claim, indicates that the action encompassing a broader array of claims is not preferably brought by way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therefore go on to consider whether a class proceeding is the preferable procedure for the fair and efficient resolution of the common issues arising from the plaintiffs' claims in tort.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 are Intrinsically Individualistic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Board contends that the common issues concerning the claims in tort are intrinsically individualistic and would inevitably reduce to a series of discrete adjudications for each plaintiff. The Board argues that to the extent that the plaintiffs allege loss or injury to the class as a whole, they operate as, in Mr. Hrabinski's words, a "phantom plaintiff" masking a collection of inherently individualistic claims. The Board submits that the Class Proceedings Act, as procedural legislation, does not purport to provide a cause of action to plaintiffs who individually lack one; nor does it relieve the members of the class from their obligation of individually proving the elements of each alleged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Appendix of Common Issues is attached to these reasons. It is to be noted that some of the proposed common issues, currently formulated in very general terms, do indeed invite a showing of class-wide damage and an assumption that individuals within the class have, because of their class membership, suffered corresponding damage. I refer to issues (b), (d), (f), and (h) in particular. For convenient reference in this discussion, I will set out by way of example issue (b), which relates to the alleged misuse of confidential information:</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members of the Plaintiff Class and Subclass for unlawful use of the confidential information pleaded at paragraph 56 of the Statement of Claim, and if so, what is the appropriate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Board submits that each class member must prove the various elements of his or her claim (including for example that he or she had confidential information, passed it on in the expectation that it would remain confidential, and suffered loss as a result of the Board's breach of the confidence), and that this fundamental requirement cannot be displaced by an unproven assumption. The Board refers to the comments of Winkler J. in Carom v. Bre-X Minerals Ltd. </w:t>
      </w:r>
      <w:hyperlink r:id="rId873"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(S.C.J.), reversed on other grounds </w:t>
      </w:r>
      <w:hyperlink r:id="rId874" w:history="1">
        <w:r>
          <w:rPr>
            <w:rFonts w:ascii="arial" w:eastAsia="arial" w:hAnsi="arial" w:cs="arial"/>
            <w:i/>
            <w:color w:val="0077CC"/>
            <w:sz w:val="20"/>
            <w:u w:val="single"/>
            <w:shd w:val="clear" w:color="auto" w:fill="FFFFFF"/>
            <w:lang w:val="en-US" w:eastAsia="en-US" w:bidi="ar-SA"/>
          </w:rPr>
          <w:t>(2000), 51 O.R. (3d) 236</w:t>
        </w:r>
      </w:hyperlink>
      <w:r>
        <w:rPr>
          <w:rFonts w:ascii="arial" w:eastAsia="arial" w:hAnsi="arial" w:cs="arial"/>
          <w:color w:val="000000"/>
          <w:sz w:val="20"/>
          <w:lang w:val="en-US" w:eastAsia="en-US" w:bidi="ar-SA"/>
        </w:rPr>
        <w:t xml:space="preserve"> (C.A.),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the common issue must be discernable at the certification stage since it provides the basis for the common issue trial and the viability of a class proceeding. The common issue cannot be dependent upon findings which will have to be made at individual trials, nor can it be based on an assumption to circumvent the necessity for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Baker for the plaintiffs explains (in relation to proposed issue (b) set out above) that the confidential information concerned, as defined in the pleadings, belonged to the proposed class as a whole. She submits that it will therefore be unnecessary (in relation to liability) to assess the nature of the allegedly confidential information in relation to individual class members. She applies a similar analysis to the other alleged torts, and she notes that the alleged torts rest on the underlying allegation that the Board deliberately targeted all non-compliant producers (that is, the proposed class) aiming to put them out of business. A nexus between the proposed class and the harm done is, on this basis, inherent in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refer to Rumley v. B.C., </w:t>
      </w:r>
      <w:hyperlink r:id="rId875"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36 where the Supreme Court upheld the B.C. Court of Appeal's decision to codify the action brought against a residential school for the deaf by former students in relation to sexual abuse they suffered at the school. The court recognized the alleged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common issue, and accepted that the matters of causation and injury would require separate proof by each member of the class. The plaintiffs here argue that the question whether the Board's actions led to advantages for its members to the disadvantage of the plaintiffs, and the Board's intent in relation to those actions, raise analogous common issues suited to determination in a class proceeding, even though the extent of any loss may require proof by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difficulty with the plaintiffs' analogy is that it does not draw from the common issues as the plaintiffs have framed them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Rumley the key certified common issue was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or in breach of fiduciary duty in failing to take reasonable measures in the operation or management of the school to protect students from misconduct of a sexual nature by employees, agents or other students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class was defined as students at the school during a stated period of time who "claim to have suffered injury, loss or damage as a result of misconduct of a sexual nature occurring at the school". It was not denied that such misconduct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Thus in Rumley, the "gravamen of the cause resided with the defendant", in Mr. Hrabinski's words, and the common issue squarely addressed it. Here, by contrast, the applicable common issue refers only to the ultimate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refer to the following passage from the judgment of Winkler J. in Carom v. Bre-X Minerals Ltd., supra, at 201 as analogous to the present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a single conspiracy. The facts of this conspiracy would necessitate repetitious proof in each individual claim. The plaintiff, in order to be successful, must establish the fact of the conspiracy, its breadth and scope, the participants, the acts committed in furtherance of the conspiracy and whether it was directed at the plaintiffs or conducted in a manner that disregarded whether the plaintiffs would suffer harm. The proof required will be time consuming and costly to provide, even if done once in a common issue trial. This would be greatly exacerbated if necessary in each individual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unique circumstances of this action, a class proceeding is the preferable procedure for dealing with the claim in fraudulent misrepresentation. I have found a class proceeding to be the preferable procedure for determining the common issues arising from the claim in conspiracy. Although the factual underpinnings may not be identical for the causes of action in conspiracy and fraudulent misrepresentation there is some inter-relation between them. Therefore, resolving the common issues arising out of these claims at a single common issue trial will advance the goals of the CPA and hence, a class proceeding is the preferable procedure for resolving the common issues arising out of the claim in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weakness in the analogy resides in the fact that the common issues framed in Carom reflected the key facts composing the alleged conspiracy, whereas the common issues currently framed in the plaintiffs' Appendix reflect only the ultimate legal conclusion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proof of the alleged torts will require inquiry at some stage into the circumstances of each plaintiff. It is entirely possible, as Mr. Hrabinsky notes, that some plaintiffs will succeed on some claims and not on others. These considerations are however in no way fatal to a conclusion that a class proceeding is the preferable procedure for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Lacking here is an articulation of the common issues that will usefully advance the litigation. The certified common issues should, among other things, make clear which aspects of the asserted liability are said to rest on or derive from the circumstances of the class as a whole, and which are said to rest on or derive from the circumstances of individual class members. I note the particular ambiguity inherent in the repeated phrase "liable to members of the Plaintiff Class" which obscures whether the Board is said to be liable to some (individual) members or to all members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trial management difficulties likely to arise from a certification of the common issues as currently framed are not assisted by the plaintiffs' Plan for Proceeding. Under the heading "Phases of Litigation", the plaintiffs propose simply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Issue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 Trial will determine whether the Defendant is liable to the Plaintiff Class and Subclass based on the various common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 Issues Determination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conclusion of the Common Issue Trial, the Plaintiffs anticipate a further Case Management Conference in order to determine the most efficient method of determining individual issues respecting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proposed by the Plan for Proceeding and the Appendix, the common issues relating to the alleged torts are no more specific than whether or not the Board "is liable". As I have discussed above, the generality of that phrase then moves into ambiguity in the phrase which follows, "to members of the Plaintiff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Greater clarity and specificity in the statement of the common issues would assist class members in their decision whether or not to participate in the class proceeding, and would contribute to the efficient progress of the trial. More immediately, it would better expose whether the common issues predominate over the individual issues within the meaning of s. 4(2)(a).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Another potential difficulty with many of the proposed common issues as framed is that their resolution may not be capable of extrapolation to each member of the class. In the context of the Act, "common" means that the resolution of the point in question must be applicable to all who are to be bound by it. The answer to the question must be capable of extrapolation to each member of the class or subclass in the class proceeding: Harrington v. Dow Corning Corp. </w:t>
      </w:r>
      <w:hyperlink r:id="rId876" w:history="1">
        <w:r>
          <w:rPr>
            <w:rFonts w:ascii="arial" w:eastAsia="arial" w:hAnsi="arial" w:cs="arial"/>
            <w:i/>
            <w:color w:val="0077CC"/>
            <w:sz w:val="20"/>
            <w:u w:val="single"/>
            <w:shd w:val="clear" w:color="auto" w:fill="FFFFFF"/>
            <w:lang w:val="en-US" w:eastAsia="en-US" w:bidi="ar-SA"/>
          </w:rPr>
          <w:t>(2000), 82 B.C.L.R. (3d) 1</w:t>
        </w:r>
      </w:hyperlink>
      <w:r>
        <w:rPr>
          <w:rFonts w:ascii="arial" w:eastAsia="arial" w:hAnsi="arial" w:cs="arial"/>
          <w:color w:val="000000"/>
          <w:sz w:val="20"/>
          <w:lang w:val="en-US" w:eastAsia="en-US" w:bidi="ar-SA"/>
        </w:rPr>
        <w:t xml:space="preserve"> (C.A.), </w:t>
      </w:r>
      <w:hyperlink r:id="rId876"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at para. 24. Resolution of the proposed common issues under discussion is capable of extrapolation to each member of the class only if the allegedly injured party is considered to be the class as a whole, rather than the individual members of the proposed class. As noted above, the plaintiffs' theory of the case appears to comprehend both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unable to conclude on the basis of the common issues as currently framed that a class proceeding is the preferable procedure for their fair and efficient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however, clear from counsels' submissions and the pleadings that the historical relationship and dealings between the Board and members of the organic egg industry is central to the plaintiffs' claims in tort. That disputed history may well disclose numerous common issues which would, in fairness and efficiency, benefit from resolution in class, rather than individual, proceedings. Common issues need not be determinative of liability; they need only be issues of fact or law that move the litigation forward: Campbell v. Flexwatt Corp. </w:t>
      </w:r>
      <w:hyperlink r:id="rId877"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are accordingly invited to resubmit their application based on a revised set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REQUIREMENTS OF CLASS PROCEEDINGS ACT -- Section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expectation that the plaintiffs will choose to resubmit their application, I will go on to comment on the other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4(1)(a):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inquiry as to whether a plaintiff has presented a cause of action as required by s. 4(1)(a) of the Act approximates the inquiry that follows from a challenge under Rule 19(24) that a pleading discloses no reasonable cause of action. The question in each case is whether, assuming the facts set out in the statement of claim, it is "plain and obvious" that the statement of claim discloses no reasonable cause of action: Endean v. Canadian Red Cross </w:t>
      </w:r>
      <w:hyperlink r:id="rId878"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at paras. 6-8. The novelty or complexity of the cause of action will not militate against the plaintiff in this inquiry: Elms v. Laurentian Bank of Canada </w:t>
      </w:r>
      <w:hyperlink r:id="rId879" w:history="1">
        <w:r>
          <w:rPr>
            <w:rFonts w:ascii="arial" w:eastAsia="arial" w:hAnsi="arial" w:cs="arial"/>
            <w:i/>
            <w:color w:val="0077CC"/>
            <w:sz w:val="20"/>
            <w:u w:val="single"/>
            <w:shd w:val="clear" w:color="auto" w:fill="FFFFFF"/>
            <w:lang w:val="en-US" w:eastAsia="en-US" w:bidi="ar-SA"/>
          </w:rPr>
          <w:t>(2000), 73 B.C.L.R. (3d) 366</w:t>
        </w:r>
      </w:hyperlink>
      <w:r>
        <w:rPr>
          <w:rFonts w:ascii="arial" w:eastAsia="arial" w:hAnsi="arial" w:cs="arial"/>
          <w:color w:val="000000"/>
          <w:sz w:val="20"/>
          <w:lang w:val="en-US" w:eastAsia="en-US" w:bidi="ar-SA"/>
        </w:rPr>
        <w:t xml:space="preserve"> (S.C.), </w:t>
      </w:r>
      <w:hyperlink r:id="rId879" w:history="1">
        <w:r>
          <w:rPr>
            <w:rFonts w:ascii="arial" w:eastAsia="arial" w:hAnsi="arial" w:cs="arial"/>
            <w:i/>
            <w:color w:val="0077CC"/>
            <w:sz w:val="20"/>
            <w:u w:val="single"/>
            <w:shd w:val="clear" w:color="auto" w:fill="FFFFFF"/>
            <w:lang w:val="en-US" w:eastAsia="en-US" w:bidi="ar-SA"/>
          </w:rPr>
          <w:t>2000 BCSC 379</w:t>
        </w:r>
      </w:hyperlink>
      <w:r>
        <w:rPr>
          <w:rFonts w:ascii="arial" w:eastAsia="arial" w:hAnsi="arial" w:cs="arial"/>
          <w:color w:val="000000"/>
          <w:sz w:val="20"/>
          <w:lang w:val="en-US" w:eastAsia="en-US" w:bidi="ar-SA"/>
        </w:rPr>
        <w:t xml:space="preserve"> at paras.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statement of claim asserts three causes of action: lack of jurisdiction, misfeasance of public office; and unlawful interference with economic interests (comprehending alleged misuse of confidential information and expropriation without compensation). The Board does not dispute the plaintiffs' contention that the statement of claim pleads the necessary elements of the three causes, and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the requirement of s. 4(1)(a) to be met, without in any way commenting on the merit the plaintiff's allegations or the viability of their legal claims.</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proposed Plan for Proceeding defines the proposed class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persons who, as of December 2000, were in the business of producing table eggs certified organic in accordance with the Agri-Food Choice and Quality Act, </w:t>
      </w:r>
      <w:r>
        <w:rPr>
          <w:rFonts w:ascii="arial" w:eastAsia="arial" w:hAnsi="arial" w:cs="arial"/>
          <w:i/>
          <w:color w:val="000000"/>
          <w:sz w:val="20"/>
          <w:lang w:val="en-US" w:eastAsia="en-US" w:bidi="ar-SA"/>
        </w:rPr>
        <w:t>R.S.B.C. 1996, c. 20</w:t>
      </w:r>
      <w:r>
        <w:rPr>
          <w:rFonts w:ascii="arial" w:eastAsia="arial" w:hAnsi="arial" w:cs="arial"/>
          <w:color w:val="000000"/>
          <w:sz w:val="20"/>
          <w:lang w:val="en-US" w:eastAsia="en-US" w:bidi="ar-SA"/>
        </w:rPr>
        <w:t xml:space="preserve"> or, prior to 1996 certified organic in accordance with standards set by the British Columbia Association of Regenerative Agriculture or other certifying bodies within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Excluded from the class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who were producing organic eggs under the Temporary Restricted Licence Quota Program ("TRLQ") as at or following January 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subclass of organic egg graders is defined similarly.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told that the proposed definition of the class intends to comprehend organic egg producers who were in the business in 1996 when legislative standards came into effect, but to exclude those producers who opted to participate in the Temporary Restricted Licence Quota program that the Board later introduced. I am satisfied that the proposed definition accurately reflects that intention, albeit in rather technical -- perhaps necessarily --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Board suggests that the true defining characteristic of the class is that its members produce organic eggs without a licence, quota, or permit issued by the Board and without remitting the levies and licence fees imposed under the Board's Standing Order. That may well be so. I do not however understand the Board to argue that the proposed class is not an "identifiable class" within the meaning of s. 4(1)(b). Rather, the Board raises concerns as to the adequacy of the plaintiffs' description of the class for the purposes of clear notice to potential members. Many of those concerns are well-founded, and may be addressed if the plaintiffs' application is resubmitted.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identify at least sixteen organic egg producers who fall within the proposed class and at least two organic egg graders who fall within the proposed sub-class. The Board estimates between four and fifteen members of the proposed class, and approximately two members of the proposed sub-class. The discrepancy between the plaintiffs' and the Board's estimates flows from lack of information as to individual circumstances, and not from lack of clarity as to the boundaries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the purposes of s. 4(1)(b), I am satisfied that there is an identifiable class of two or more persons.</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undisputed that the claims of the class give rise to common issues. The more difficult question is whether they are such that a class proceeding is the preferable procedure for their resolution, a matter which is discussed at length above.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Plaintiff Would Fairly and Adequately Represent the Interests of the Class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 4(1)(e) requires that: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proceedings, and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Reid, the proposed representative of the class, is also the owner and primary operator of Olera Farms, the proposed representative of the subclass. There is no suggestion but that Mr. Reid has a common interest with other members of the class and, with the assistance of experienced counsel, would prosecute the claim vigorously and with attention to his responsibilities as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the requirements of s. 4(1)(e)(i) and (iii) are met. If the plaintiffs choose to resubmit their application with reframed common issues, I will then consider the accompanying Plan for the Proceeding, required by s. 4(1)(e)(ii).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Many of the requirements for certification are met. However, I am unable to conclude on the basis of the common issues as currently framed that a class proceeding is the preferable procedure for the fair and efficient resolution of the common issues, as required by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appears likely that more specific common issues can be identified in relation to the plaintiffs' claims in tort. This would allow for a full assessment of whether common issues predominate over individual issues in the trial of all the claims, including the jurisdictional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are therefore invited to consider re-framing the proposed common issues and to resubmit their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APPENDIX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B.C. Egg Marketing Scheme, 1967, </w:t>
      </w:r>
      <w:hyperlink r:id="rId870" w:history="1">
        <w:r>
          <w:rPr>
            <w:rFonts w:ascii="arial" w:eastAsia="arial" w:hAnsi="arial" w:cs="arial"/>
            <w:i/>
            <w:color w:val="0077CC"/>
            <w:sz w:val="20"/>
            <w:u w:val="single"/>
            <w:shd w:val="clear" w:color="auto" w:fill="FFFFFF"/>
            <w:lang w:val="en-US" w:eastAsia="en-US" w:bidi="ar-SA"/>
          </w:rPr>
          <w:t>B.C. Reg. 173/67</w:t>
        </w:r>
      </w:hyperlink>
      <w:r>
        <w:rPr>
          <w:rFonts w:ascii="arial" w:eastAsia="arial" w:hAnsi="arial" w:cs="arial"/>
          <w:color w:val="000000"/>
          <w:sz w:val="20"/>
          <w:lang w:val="en-US" w:eastAsia="en-US" w:bidi="ar-SA"/>
        </w:rPr>
        <w:t xml:space="preserve"> ("Egg Scheme") confer jurisdiction on the Egg Board to regulate the production and marketing of Organic Eggs?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Misuse of Confidential Information</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members of the Plaintiff Class and Subclass for unlawful use of the confidential information pleaded at paragraph 56 of the Statement of Claim, and if so, what is the appropriate measure of damages?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conduct in using the confidential information for an unlawful purpose of a sufficient character to merit an award of punitive damages? If so, what is the amount of punitive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Expropriation Without Compensation</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members of the Plaintiff Class and Subclass for appropriating the interest and investment of Organic Producers and COABC Graders in the organic market to itself and to those producers solicited by the Egg Board, and if so, what is the appropriate measure of damages?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conduct in appropriating the interest and investment of Organic Producers and COABC Graders in the organic market to itself and those producers solicited by the Egg Board of a sufficient character to merit an award of punitive damages? If so, what is the amount of punitive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Unlawful Interference with Economic Relations</w:t>
      </w:r>
      <w:r>
        <w:rPr>
          <w:rFonts w:ascii="arial" w:eastAsia="arial" w:hAnsi="arial" w:cs="arial"/>
          <w:sz w:val="20"/>
          <w:lang w:val="en-US" w:eastAsia="en-US" w:bidi="ar-SA"/>
        </w:rPr>
        <w:cr/>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members of the Plaintiff Class and Subclass for intentional interference with the economic interests of the Organic Producers and/or the COABC Graders, and if so what is the appropriate measure of damages?</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conduct in intentionally interfering with the economic interests of the Organic Producers and/or COABC Graders of a sufficient character to merit an award of punitive damages? If so, what is the amount of punitive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Misfeasance of Public Office</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members of the Plaintiff Class and Subclass for misfeasance of public office in unlawfully imposing TRLQ for organic eggs, or, alternatively, for imposing TRLQ for organic eggs for an improper or malicious purpose, and if so, what is the appropriate measure of damages?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conduct in unlawfully imposing TRLQ for organic eggs of a sufficient character to merit an award of punitive damages? If so, what is the amount of punitive damages to be awarded?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Richard v. British Columbia, [2008] B.C.J. No. 341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and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S024338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William Joseph Richard and W.H.M., Plaintiffs/Respondents, and Her Majesty the Queen in Right of the Province of British Columbia, Defendant/Applicant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33"/>
      <w:bookmarkEnd w:id="227"/>
      <w:r>
        <w:rPr>
          <w:rFonts w:ascii="arial" w:eastAsia="arial" w:hAnsi="arial" w:cs="arial"/>
          <w:b/>
          <w:color w:val="000000"/>
          <w:sz w:val="20"/>
          <w:lang w:val="en-US" w:eastAsia="en-US" w:bidi="ar-SA"/>
        </w:rPr>
        <w:t>Civil litigation — Limitation of actions — General principles — Legislation — Interpretation — Statutes — Effect — Motion by defendant for amendment of certification order — Plaintiff brought class action to claim damages for abuse and breach of fiduciary duty for abuse of residents at school operated by defendant — Defendant sought to restrict class to claims rising after 1974 Application allowed — Any cause of action arising from wrongful conduct of a servant of the Crown before the 1974 proclamation of Crown Proceedings Act was barred.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the Crown — Crown liability for acts of employees — Motion by defendant for amendment of certification order — Plaintiff brought class action to claim damages for abuse and breach of fiduciary duty for abuse of residents at school operated by defendant — Defendant sought to restrict class to claims rising after 1974 Application allowed — Any cause of action arising from wrongful conduct of a servant of the Crown before the 1974 proclamation of Crown Proceedings Act was barred.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33"/>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defendant for amendment of certification order -- Plaintiffs sued for damages for breach of fiduciary duty, sexual and physical abuse of school residents -- Defendant operated school -- Defendant sought to amend certification order by restricting the class to residents after August 1974 -- Plaintiffs opposed motion and argued the same issue had been determined and dismissed on an earlier application by plaintiffs to have its counsel removed -- Plaintiffs also argued it was not plain and obvious that residents prior to 1974 did not have a cause of action in equity -- HELD: Application allowed -- Earlier decision removing plaintiff's counsel did not decide question of amending class definition on the merits -- Issue was thus not res judicata -- Any cause of action arising from wrongful conduct of a servant of the Crown before the 1974 proclamation of Crown Proceedings Act was barred.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27"/>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Proceedings Act, S.B.C. 1974, c. 24, s. 15, s. 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33"/>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Plaintiffs/Respondents: David Klein and Shauna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Karen Horsman, D. Clifton Prowse and A. Lieberman.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Public Guardian and Trustee: Alison L.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3"/>
      <w:bookmarkEnd w:id="231"/>
      <w:r>
        <w:pict>
          <v:line id="_x0000_s1204"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D. SATANOVE J."/>
            <w:bookmarkEnd w:id="232"/>
            <w:r>
              <w:rPr>
                <w:rFonts w:ascii="arial" w:eastAsia="arial" w:hAnsi="arial" w:cs="arial"/>
                <w:b/>
                <w:color w:val="000000"/>
                <w:sz w:val="30"/>
                <w:lang w:val="en-US" w:eastAsia="en-US" w:bidi="ar-SA"/>
              </w:rPr>
              <w:t>D. 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seeks the amendment of the Certification Order made by Justice Morrison on March 17, 2005 in this matter. The amendment sought to be made is underlined below:</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hereby defined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persons resident in British Columbia, who were confined to the provincial institution more recently known as Woodlands School </w:t>
      </w:r>
      <w:r>
        <w:rPr>
          <w:rFonts w:ascii="arial" w:eastAsia="arial" w:hAnsi="arial" w:cs="arial"/>
          <w:color w:val="000000"/>
          <w:sz w:val="20"/>
          <w:u w:val="single"/>
          <w:lang w:val="en-US" w:eastAsia="en-US" w:bidi="ar-SA"/>
        </w:rPr>
        <w:t>on or after August 1, 1974,</w:t>
      </w:r>
      <w:r>
        <w:rPr>
          <w:rFonts w:ascii="arial" w:eastAsia="arial" w:hAnsi="arial" w:cs="arial"/>
          <w:color w:val="000000"/>
          <w:sz w:val="20"/>
          <w:lang w:val="en-US" w:eastAsia="en-US" w:bidi="ar-SA"/>
        </w:rPr>
        <w:t xml:space="preserve"> and who, while so confined, suffered physical, sexual, emotional and/or psychological abuse and have suffered injury, loss or damage as a result thereof.</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for the Class are hereby defined as: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defendant negligent or in breach of fiduciary duty in failing to take reasonable measures in the operation or management of Woodlands School </w:t>
      </w:r>
      <w:r>
        <w:rPr>
          <w:rFonts w:ascii="arial" w:eastAsia="arial" w:hAnsi="arial" w:cs="arial"/>
          <w:color w:val="000000"/>
          <w:sz w:val="20"/>
          <w:u w:val="single"/>
          <w:lang w:val="en-US" w:eastAsia="en-US" w:bidi="ar-SA"/>
        </w:rPr>
        <w:t>on or after August 1, 1974</w:t>
      </w:r>
      <w:r>
        <w:rPr>
          <w:rFonts w:ascii="arial" w:eastAsia="arial" w:hAnsi="arial" w:cs="arial"/>
          <w:color w:val="000000"/>
          <w:sz w:val="20"/>
          <w:lang w:val="en-US" w:eastAsia="en-US" w:bidi="ar-SA"/>
        </w:rPr>
        <w:t xml:space="preserve"> to protect those persons therein confined from abusive conduct of a physical, sexual emotional and/or psychological nature by employees, agents or other persons similarly confined in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oppose the motion on two grounds: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by the plaintiffs' former solicitors for exactly the same relief had already been heard and dismissed by Justice Butler on July 23, 2007. The defendant was a party to that application and attended the hearing. The plaintiffs submit that the defendant should not be permitted to re-litigate the issue.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plain and obvious that the plaintiffs who were Woodlands residents prior to August 1, 1974 do not have a cause of action in equity. The plaintiffs submit that their claim for breach of fiduciary duty is not affected by the </w:t>
      </w:r>
      <w:r>
        <w:rPr>
          <w:rFonts w:ascii="arial" w:eastAsia="arial" w:hAnsi="arial" w:cs="arial"/>
          <w:b/>
          <w:i/>
          <w:color w:val="000000"/>
          <w:sz w:val="20"/>
          <w:lang w:val="en-US" w:eastAsia="en-US" w:bidi="ar-SA"/>
        </w:rPr>
        <w:t>Crown Proceeding Act</w:t>
      </w:r>
      <w:r>
        <w:rPr>
          <w:rFonts w:ascii="arial" w:eastAsia="arial" w:hAnsi="arial" w:cs="arial"/>
          <w:color w:val="000000"/>
          <w:sz w:val="20"/>
          <w:lang w:val="en-US" w:eastAsia="en-US" w:bidi="ar-SA"/>
        </w:rPr>
        <w:t xml:space="preserve"> or the decision of the B.C. Court of Appeal in </w:t>
      </w:r>
      <w:r>
        <w:rPr>
          <w:rFonts w:ascii="arial" w:eastAsia="arial" w:hAnsi="arial" w:cs="arial"/>
          <w:b/>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2005 BCCA 481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litigation has had a tortuous history. The action was commenced on August 2, 2002 by the law firm of Poyner Baxter on behalf of persons who were resident at Woodlands School in New Westminster, British Columbia. Woodlands School was a residential facility operated by the defendant for disabled children. The plaintiffs allege in their Statement of Claim that there was sexual, physical and psychological abuse at the institution and they seek general, aggravated, punitive and special damages and compensation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filed a Statement of Defence on October 18, 2002 asserting, amongst other things, Crown immunity from tort actions prior to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action was certified as a Class Proceeding by Madam Justice Morrison on March 17, 2005. At that point in time the defendant conceded that the pleadings disclosed a cause of action for all Class members. On October 6, 2005 the Court of Appeal released its decision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That case involved an action against the Province for general, aggravated, punitive and special damages arising out of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of the defendant to fulfill its non-delegable duty, or duty of special diligence, to the plaintiffs who were Doukhobor children confined at a residential facility operated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case at bar, a tentative settlement was reached between plaintiffs with claims arising after 1974 and the defendant, but a goodly portion of the class was relying on claims that arose before 1974. Poyner Baxter took the position that as a result of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the plaintiffs' claims arising before 1974 were barred by 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2007 the parties appeared before Mr. Justice Butler on two applications. The first was brought by the representative plaintiff, William McArthur, for an order that Poyner Baxter be removed as counsel for the plaintiffs for conflict of interest. Poyner Baxter opposed that motion and filed an application as Class counsel on behalf of the entire Class for orders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Certification Order be amended by amending the Class definition to include only claims arising after August 1, 1974 and by removing Mr. McArthur as a representative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hearing be scheduled for the purpose of reviewing and either approving or rejecting a proposed settlement agreement which had been negotiated between the parties;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renewed consideration be given to creating two sub-classes of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reasons reported at </w:t>
      </w:r>
      <w:r>
        <w:rPr>
          <w:rFonts w:ascii="arial" w:eastAsia="arial" w:hAnsi="arial" w:cs="arial"/>
          <w:b/>
          <w:i/>
          <w:color w:val="000000"/>
          <w:sz w:val="20"/>
          <w:lang w:val="en-US" w:eastAsia="en-US" w:bidi="ar-SA"/>
        </w:rPr>
        <w:t>Richard v. HMTQ</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2007 BCSC 1107</w:t>
        </w:r>
      </w:hyperlink>
      <w:r>
        <w:rPr>
          <w:rFonts w:ascii="arial" w:eastAsia="arial" w:hAnsi="arial" w:cs="arial"/>
          <w:color w:val="000000"/>
          <w:sz w:val="20"/>
          <w:lang w:val="en-US" w:eastAsia="en-US" w:bidi="ar-SA"/>
        </w:rPr>
        <w:t>, Mr. Justice Butler found that Poyner Baxter was in a conflict of interest as it had breached its duty of loyalty to Mr. McArthur, ignored his interests and must be removed as Class counsel. Mr. Justice Butler refused to deal with the issue of the proposed settlement agreement because he said the argument was not before him, and he could not make any findings as to whether it was beneficial to the Class members. He went on to state that if he were to order the amendment of the Class definition (which was the same amendment being sought in the present application before me), he would be allowing Poyner Baxter to usurp the role of Class representative. Justice Butler stated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the only possible order is to remove it [Poyner Baxter] as class counsel and allow new class counsel to attempt to resolve the conflicts that have arisen, and either move the case toward trial or restart the settlement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Justice Butler dismissed both the application to amend the Class definition and to remove Mr. McArthur as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Poyner Baxter has been granted leave to appeal the order removing it as counsel for the Class: </w:t>
      </w:r>
      <w:r>
        <w:rPr>
          <w:rFonts w:ascii="arial" w:eastAsia="arial" w:hAnsi="arial" w:cs="arial"/>
          <w:b/>
          <w:i/>
          <w:color w:val="000000"/>
          <w:sz w:val="20"/>
          <w:lang w:val="en-US" w:eastAsia="en-US" w:bidi="ar-SA"/>
        </w:rPr>
        <w:t xml:space="preserve">Richard v. W.H.M., </w:t>
      </w:r>
      <w:hyperlink r:id="rId889" w:history="1">
        <w:r>
          <w:rPr>
            <w:rFonts w:ascii="arial" w:eastAsia="arial" w:hAnsi="arial" w:cs="arial"/>
            <w:b/>
            <w:i/>
            <w:color w:val="0077CC"/>
            <w:sz w:val="20"/>
            <w:u w:val="single"/>
            <w:shd w:val="clear" w:color="auto" w:fill="FFFFFF"/>
            <w:lang w:val="en-US" w:eastAsia="en-US" w:bidi="ar-SA"/>
          </w:rPr>
          <w:t>2007 BCCA 570</w:t>
        </w:r>
      </w:hyperlink>
      <w:r>
        <w:rPr>
          <w:rFonts w:ascii="arial" w:eastAsia="arial" w:hAnsi="arial" w:cs="arial"/>
          <w:color w:val="000000"/>
          <w:sz w:val="20"/>
          <w:lang w:val="en-US" w:eastAsia="en-US" w:bidi="ar-SA"/>
        </w:rPr>
        <w:t>. There has been no appeal of the order dismissing the application to amend the Class definition. However, the defendant has now applied to the Court of Appeal to be added as an appellant to the Poyner Baxter appeal. It is unknown at this time whether the defendant will be granted such status, or whether the Court of Appeal will deal with Justice Butler's dismissal of the application to amend the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Not surprisingly, the plaintiffs oppose the defendant's application before me on the basis of issue of estoppel. They argue that the pre-conditions for the operation of issue estoppel as set out by Dickson J. in </w:t>
      </w:r>
      <w:r>
        <w:rPr>
          <w:rFonts w:ascii="arial" w:eastAsia="arial" w:hAnsi="arial" w:cs="arial"/>
          <w:b/>
          <w:i/>
          <w:color w:val="000000"/>
          <w:sz w:val="20"/>
          <w:lang w:val="en-US" w:eastAsia="en-US" w:bidi="ar-SA"/>
        </w:rPr>
        <w:t>Angle v. Ministry of National Revenue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254, have been met: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question has been decided;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decision which created the estoppel was final;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judicial decision or their privies were the same persons as the parties to the proceeding in which the estoppel was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concedes that Justice Butler's decision was final and that it was a party to the prior proceeding, but it maintains that Justice Butler did not answer the same question that the defendant has asked me to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agree with the defendant in this regard. Notwithstanding that the Notices of Motion brought by Poyner Baxter before Mr. Justice Butler and the Notice of Motion brought by the defendant before me is worded in the same terms, it is obvious from Justice Butler's judgment that he dismissed the application because Poyner Baxter was not in a position to bring it. His judgment, in my view, is more akin to a finding that Poyner Baxter did not have the status to bring such an application because it placed the firm in a direct conflict of interest and was a direct breach of duty to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do not disagree that Justice Butler did not decide the question of amending the Class definition on the merits, but they say the opportunity was afforded to the defendant to argue the issue on the merits. This is true, but only relevant if Justice Butler had been prepared to deal with the application on the merits argued by Poyner Baxter. In other words, we do not know if Justice Butler agreed or disagreed with Poyner Baxter's argument about Crown immunity, because of his conclusion that Poyner Baxter should not be allowed to make 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unfortunate that matters have unfolded as they have and further costs have been incurred by the parties than may have been necessary. However, under the circumstances, I am of the view that the context in which Justice Butler dismissed Poyner Baxter's application was vastly different than the context in which the application has been brought before me. Therefore, the plaintiffs' preliminary objection that the defendant's application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had the benefit of full submissions on the issue of Crown immunity and whether the Class definition should be amended, or whether the pre-1974 claims should be allowed to stand insofar as they seek equitable relief only. The history of the law in this area is fascinating, but it would serve no purpose to reconsider it because I am bound by the decision of the Court of Appeal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If it were otherwise, I might well be disposed to allow the Class definition to remain unamended and to allow the pre-1974 claims for breach of fiduciary duty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was a decision of five Court of Appeal Justices who overturned the earlier Court of Appeal decision of </w:t>
      </w:r>
      <w:r>
        <w:rPr>
          <w:rFonts w:ascii="arial" w:eastAsia="arial" w:hAnsi="arial" w:cs="arial"/>
          <w:b/>
          <w:i/>
          <w:color w:val="000000"/>
          <w:sz w:val="20"/>
          <w:lang w:val="en-US" w:eastAsia="en-US" w:bidi="ar-SA"/>
        </w:rPr>
        <w:t>B.(K.L.) v. British Columbia</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1999 BCCA 210</w:t>
        </w:r>
      </w:hyperlink>
      <w:r>
        <w:rPr>
          <w:rFonts w:ascii="arial" w:eastAsia="arial" w:hAnsi="arial" w:cs="arial"/>
          <w:color w:val="000000"/>
          <w:sz w:val="20"/>
          <w:lang w:val="en-US" w:eastAsia="en-US" w:bidi="ar-SA"/>
        </w:rPr>
        <w:t>, which was also a five Justice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Despite the submissions of the Public Guardian and Trustee on the application before me, I do not find either the facts or result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to be distinguishable from the case before me.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the Court was dealing with the claims for damages for wrongs, both sexual and non-sexual, allegedly committed by Crown employees or agents while the plaintiffs were confined in a residential school in the 1950's. The Chambers Judge held that the Crown could be liable for acts committed before the </w:t>
      </w:r>
      <w:r>
        <w:rPr>
          <w:rFonts w:ascii="arial" w:eastAsia="arial" w:hAnsi="arial" w:cs="arial"/>
          <w:b/>
          <w:i/>
          <w:color w:val="000000"/>
          <w:sz w:val="20"/>
          <w:lang w:val="en-US" w:eastAsia="en-US" w:bidi="ar-SA"/>
        </w:rPr>
        <w:t>Crown Proceedings Act</w:t>
      </w:r>
      <w:r>
        <w:rPr>
          <w:rFonts w:ascii="arial" w:eastAsia="arial" w:hAnsi="arial" w:cs="arial"/>
          <w:color w:val="000000"/>
          <w:sz w:val="20"/>
          <w:lang w:val="en-US" w:eastAsia="en-US" w:bidi="ar-SA"/>
        </w:rPr>
        <w:t xml:space="preserve">, S.B.C. 1974, c. 24, came into force, but the Crown was successful on appeal in persuading the Court that the true construction of the </w:t>
      </w:r>
      <w:r>
        <w:rPr>
          <w:rFonts w:ascii="arial" w:eastAsia="arial" w:hAnsi="arial" w:cs="arial"/>
          <w:b/>
          <w:i/>
          <w:color w:val="000000"/>
          <w:sz w:val="20"/>
          <w:lang w:val="en-US" w:eastAsia="en-US" w:bidi="ar-SA"/>
        </w:rPr>
        <w:t>Crown Proceedings Act</w:t>
      </w:r>
      <w:r>
        <w:rPr>
          <w:rFonts w:ascii="arial" w:eastAsia="arial" w:hAnsi="arial" w:cs="arial"/>
          <w:color w:val="000000"/>
          <w:sz w:val="20"/>
          <w:lang w:val="en-US" w:eastAsia="en-US" w:bidi="ar-SA"/>
        </w:rPr>
        <w:t xml:space="preserve"> showed that the Legislature had abolished proceedings against the Crown by petition of right, dispensed with fiats, and rendered the Crown subject to all those liabilities to which it would be liable if it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question that the Court of Appeal decided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is set out in paragraph 48 of that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did the legislature intend to abrogate, for wrongs committed by a servant of the Crown before the proclamation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commonly understood doctrine, whatever lay at the root of it, that no cause of action, even with a fiat, would lie against the Crown for the wrongs of its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of Appeal stated unequivocally that there is nothing in the </w:t>
      </w:r>
      <w:r>
        <w:rPr>
          <w:rFonts w:ascii="arial" w:eastAsia="arial" w:hAnsi="arial" w:cs="arial"/>
          <w:b/>
          <w:i/>
          <w:color w:val="000000"/>
          <w:sz w:val="20"/>
          <w:lang w:val="en-US" w:eastAsia="en-US" w:bidi="ar-SA"/>
        </w:rPr>
        <w:t>Crown Proceedings Act</w:t>
      </w:r>
      <w:r>
        <w:rPr>
          <w:rFonts w:ascii="arial" w:eastAsia="arial" w:hAnsi="arial" w:cs="arial"/>
          <w:color w:val="000000"/>
          <w:sz w:val="20"/>
          <w:lang w:val="en-US" w:eastAsia="en-US" w:bidi="ar-SA"/>
        </w:rPr>
        <w:t xml:space="preserve"> upon which one could answer the above question in the affirmative, and in fact there was an express indication to the contrary in sections 15 and 16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Court of Appeal held that it followed that the action must stand dismissed in all respects, which included a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argue that the Court in </w:t>
      </w:r>
      <w:r>
        <w:rPr>
          <w:rFonts w:ascii="arial" w:eastAsia="arial" w:hAnsi="arial" w:cs="arial"/>
          <w:b/>
          <w:i/>
          <w:color w:val="000000"/>
          <w:sz w:val="20"/>
          <w:lang w:val="en-US" w:eastAsia="en-US" w:bidi="ar-SA"/>
        </w:rPr>
        <w:t>Arishenkoff No. 2</w:t>
      </w:r>
      <w:r>
        <w:rPr>
          <w:rFonts w:ascii="arial" w:eastAsia="arial" w:hAnsi="arial" w:cs="arial"/>
          <w:color w:val="000000"/>
          <w:sz w:val="20"/>
          <w:lang w:val="en-US" w:eastAsia="en-US" w:bidi="ar-SA"/>
        </w:rPr>
        <w:t xml:space="preserve"> dealt only with tort actions arising before 1974; it did not refer to equitable claims for relief such as breach of fiduciary duty. While it is correct that the question of law posed to the Court referred to torts, the question that the Court answered was as I have set out above. In other words, the Court found that any cause of action arising from wrongful conduct of a servant of the Crown was barred. This would undoubtedly include breaches of fiduciary duty arising from allegations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conclusion, I will allow the defendant's application and I will amend the Class definition as set out in the defendant's Notice of Motion. However, I will consider submissions regarding a stay of execution of my judgment until such time as the matter has been heard by the Court of Appeal or the parties otherwise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Roberts v. Pearson, [2018] B.C.J. No. 583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Wilson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M110536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Grant Roberts, Plaintiff, and Douglas Pearson and Bennett Contracting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4"/>
      <w:bookmarkEnd w:id="233"/>
      <w:r>
        <w:rPr>
          <w:rFonts w:ascii="arial" w:eastAsia="arial" w:hAnsi="arial" w:cs="arial"/>
          <w:b/>
          <w:color w:val="000000"/>
          <w:sz w:val="20"/>
          <w:lang w:val="en-US" w:eastAsia="en-US" w:bidi="ar-SA"/>
        </w:rPr>
        <w:t>Civil litigation — Civil procedure — Pleadings — Amendment of — Statement of defence — Adding new defence — Leave to amend — Application by defendants for leave to amend response to civil claim in plaintiff's personal injury action to plead both plaintiff and defendant Pearson were working at time of 2014 accident allowed — During examination for discovery, plaintiff denied he had been working at time of accident — Plaintiff's employer subsequently confirmed plaintiff was concrete applicator and, based on payroll records, had been on his way to worksite when accident occurred — Defendants were permitted to amend response, conditional on their insurer providing undertaking to plaintiff to pay workers compensation benefits he would have received if he had applied in time — Workers Compensation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Application by defendants for leave to amend response to civil claim in plaintiff's personal injury action to plead both plaintiff and defendant Pearson were working at time of 2014 accident allowed — During examination for discovery, plaintiff denied he had been working at time of accident — Plaintiff's employer subsequently confirmed plaintiff was concrete applicator and, based on payroll records, had been on his way to worksite when accident occurred — Defendants were permitted to amend response, conditional on their insurer providing undertaking to plaintiff to pay workers compensation benefits he would have received if he had applied in time — Workers Compensation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Workplace health, safety and compensation law — Workers' compensation — Legislation — Effect of statute on other causes of action — Civil procedure — Pleadings — Application by defendants for leave to amend response to civil claim in plaintiff's personal injury action to plead both plaintiff and defendant Pearson were working at time of 2014 accident allowed — During examination for discovery, plaintiff denied he had been working at time of accident — Plaintiff's employer subsequently confirmed plaintiff was concrete applicator and, based on payroll records, had been on his way to worksite when accident occurred — Defendants were permitted to amend response, conditional on their insurer providing undertaking to plaintiff to pay workers compensation benefits he would have received if he had applied in time — Workers Compensation Act, s. 10.</w:t>
      </w:r>
    </w:p>
    <w:p>
      <w:pPr>
        <w:jc w:val="both"/>
        <w:rPr>
          <w:rFonts w:ascii="arial" w:eastAsia="arial" w:hAnsi="arial" w:cs="arial"/>
          <w:sz w:val="20"/>
          <w:lang w:val="en-US" w:eastAsia="en-US" w:bidi="ar-SA"/>
        </w:rPr>
      </w:pPr>
      <w:bookmarkStart w:id="234" w:name="Legislation Cited_28"/>
      <w:bookmarkEnd w:id="2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Information Protection Act,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10, s. 10(1), s. 10(2), s. 55, s. 55(1), s. 55(2), s. 55(3), s. 55(3.1)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5" w:name="Counsel_34"/>
      <w:bookmarkEnd w:id="2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Frechette.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Spinks.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4"/>
      <w:bookmarkEnd w:id="236"/>
      <w:r>
        <w:pict>
          <v:line id="_x0000_s1209"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MASTER S. WILSON"/>
            <w:bookmarkEnd w:id="237"/>
            <w:r>
              <w:rPr>
                <w:rFonts w:ascii="arial" w:eastAsia="arial" w:hAnsi="arial" w:cs="arial"/>
                <w:b/>
                <w:color w:val="000000"/>
                <w:sz w:val="30"/>
                <w:lang w:val="en-US" w:eastAsia="en-US" w:bidi="ar-SA"/>
              </w:rPr>
              <w:t>MASTER S. WILSON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leave to amend their response to civil claim in this personal injury action to plead that both the plaintiff and the defendant Douglas Pearson ("Pearson") were working within the scope of their employment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the subject accident occurred on June 3, 2014. The plaintiff is a concrete finisher and is currently 33 years of age. He worked subsequent to the accident, but he says he is now unable to do so and has been off work for almost two years. He applied for and received Part 7 benefits from ICBC relating to medical treatments necessitated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was filed on March 17, 2016, and a response admitting liability was filed on behalf of the defendants on July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examination for discovery of the plaintiff was conducted in 2017 and the trial is scheduled to commence in February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An application to amend the pleadings is brought pursuant to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pleadings may be amended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factors to be considered on an application to amend pleadings are set out by Madam Justice Ross in </w:t>
      </w:r>
      <w:r>
        <w:rPr>
          <w:rFonts w:ascii="arial" w:eastAsia="arial" w:hAnsi="arial" w:cs="arial"/>
          <w:i/>
          <w:color w:val="000000"/>
          <w:sz w:val="20"/>
          <w:lang w:val="en-US" w:eastAsia="en-US" w:bidi="ar-SA"/>
        </w:rPr>
        <w:t>G.A.D. v. BC Children's Hospital</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general principles to be applied in the consideration of an application to amend are as follows: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permitted as are necessary to determine the real question in issue between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rule, set out expressly in the former Rules and no doubt still applicable, is that such amendments should be permitted as are necessary to determine the real question in issue between the parties. Rule 1(5) requires an interpretation of the rules which permit the just and speedy determination of the dispute on its merits. Similarly,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R.S.B.C. 1979, c. 224, s. 10, requires the court to grant all such remedies as any of the parties may appear to be entitled to "so that, as far as possible, all matters in controversy between the parties may be completely and finally determined. </w:t>
      </w:r>
      <w:r>
        <w:rPr>
          <w:rFonts w:ascii="arial" w:eastAsia="arial" w:hAnsi="arial" w:cs="arial"/>
          <w:b/>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will not give its sanction to amendments which violate the rules that govern pleadings, including the prohibition of pleadings which disclose no reasonable claim. In considering this question, the court will apply the same tests and considerations as applicable on an application to strike claims already pleaded, see </w:t>
      </w:r>
      <w:r>
        <w:rPr>
          <w:rFonts w:ascii="arial" w:eastAsia="arial" w:hAnsi="arial" w:cs="arial"/>
          <w:b/>
          <w:i/>
          <w:color w:val="000000"/>
          <w:sz w:val="20"/>
          <w:lang w:val="en-US" w:eastAsia="en-US" w:bidi="ar-SA"/>
        </w:rPr>
        <w:t>Victoria Grey Metro Trust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is not required to adduce evidence in support of a pleading before trial, see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to amend the facts alleged are taken as established, see </w:t>
      </w:r>
      <w:r>
        <w:rPr>
          <w:rFonts w:ascii="arial" w:eastAsia="arial" w:hAnsi="arial" w:cs="arial"/>
          <w:b/>
          <w:i/>
          <w:color w:val="000000"/>
          <w:sz w:val="20"/>
          <w:lang w:val="en-US" w:eastAsia="en-US" w:bidi="ar-SA"/>
        </w:rPr>
        <w:t>Canada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Attorney General) v. Ellis-Don Ltd.</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2000 BCCA 111</w:t>
        </w:r>
      </w:hyperlink>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is to be exercised judicially, in accordance with the evidence adduced and the guidelines of the authorities. Factors to be considered include: the extent of delay, the reasons for delay, any explanation put forward to account for the delay, the degree of prejudice caused by the delay, the extent of the connection between the existing claims and a proposed new cause of action. The over-riding consideration is what is just and convenient, see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threshold to permit an amendment has been held to be a low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mention of this possible amendment by the defendants was by way of telephone call between counsel on February 6, 2018. The evidence in support of the application is by way of an affidavit from an independent adjuster hired by the defendants' insurer, ICBC. The adjuster, Ms. Passmore, includes as an exhibit a statement she took from Mr. Sean Jaegli of Global Surface Solutions Inc., the plaintiff's employer at the time of the accident. She deposes that she interviewed Mr. Jaegli regarding the plaintiff's employment and performance, both before and after the accident and over the course of the interview Mr. Jaegli checked his records and advised that the plaintiff was actually working and being paid at the time of the accident. The statement is reproduced in its entirety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Voluntary Statement of Sean Jaegli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statement of Sean Jaegli. I am the owner of Global Surface Solutions Inc. of 274 Campion Street, Kelowna, BC. Our phone number is 250-491-3141. I confirm that Grant Roberts was employed with Global Surface Solutions from April 3, 2014 to August 29, 2016, as a concrete applicator. I confirm that Grant Roberts was registered as a worker with WorkSafe BC while he was employed with our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3, 2014, Grant Roberts was involved in a car accident. I have checked our payroll records which show he started work at 8:00 AM. He would have been paid from his 8:00 AM start time on this day, June 3, 2014. Grant would have loaded his vehicle and been on his way to Centuria where there was a job to do concrete work on a deck. I do not know if Jordie Cote was with Grant for certain. He may have been, but I am uncertain. Grant would on occasion take his own vehicle to a job site if he had an appointment after work. For the most part our employees travel to and from work sites in our company vehicles. We pay our employees for travel between work 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he missed any work right after the accident, but 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Passmore's affidavit does not include the payroll records referred to in Mr. Jaegli's statement. The plaintiff's evidence does include some questions and answers from the defendants' examination of the plaintiff for discovery wherein the plaintiff said that he was not working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swore an affidavit in response to the defendants' materials in which he describes his events of the day and confirms that he was not working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deposes that he was driving his personal vehicle at the time of the accident, that he generally did not use his personal vehicle for work purposes as the employer had company vehicles, and that it was not uncommon for there to be a mistake in the payroll records. Further, the plaintiff says if it were raining or if rain was expected, he may not be able to work as rain would potentially damage the concrete he would be finishing. He says that there were circumstances where he may have been paid for a minimum four-hour shift even though he did not actually physically work. The plaintiff's affidavit includes a weather report of the date of the accident indicating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took exception to Mr. Jaegli's statement. He says that the defendants are relying on Mr. Jaegli's statements for the truth of their contents and that the various documents that Mr. Jaegli said he referred to have not been produced and are not attached to the statement. He also says that the defendants breached his privacy rights by conducting an interview of his employer without his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regard to the admissibility of Mr. Jaegli's statement for the truth of its contents, the authorities require the court to assume the facts as set out in the proposed amended pleading are true, not that I must accept the evidence in the affidavits in support of the application. I consider the affidavit and the attached statement to be the defendants' explanation for why the defendants are raising the new defence at this time. It is neither necessary nor appropriate for me to weigh or evaluate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the issue of the possible breach of the plaintiff's privacy rights under the Personal Information Protection Act,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 I do not propose to make any further comment on that issue. The plaintiff concedes that even if I were to disregard that evidence and either dismiss or adjourn the defendants' application, it is highly likely that the defendants would apply successfully for an order that the employer's file be disclosed. Information about whether the plaintiff was paid on the day of the accident would become apparent, the only consequence of which would be a delay of perhaps two months before the same matter was before the court. Such a delay would be of no benefit to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primary consideration here is the issue of prejudice to the plaintiff. Pursuant to s. 10(1)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 worker who suffers personal injury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worker has no right to 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(1) The provisions of this Part are in lieu of any right and rights of action, statutory or otherwise, founded on a breach of duty of care or any other cause of action, whether that duty or cause of action is imposed by or arises by reason of law or contract, express or implied, to which a worker, dependant or member of the family of the worker is or may be entitled against the employer of the worker, or against any employer within the scope of this Part, or against any worker, in respect of any personal injury, disablement or death 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if a worker is injured by someone who was not working at the time of the accident, the injured worker has the right to elect whether to claim compensation under the Workers Compensation Act or may bring an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(2) Where the cause of the injury, disablement or death of a worker is such that an action lies against some person, other than an employer or worker within the scope of this Part, the worker or dependant may claim compensation or may bring an action. If the worker or dependant elects to claim compensation, he or she must do so within 3 months of the occurrence of the injury or any longer period that the Board allows.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time limits imposed regarding applications for compensation under the Workers Compensation Act, which are set out in s. 55. The general rule is that an application must be filed within one year (s. 55(2)). However, if the Workers Compensation Board is satisfied that there existed special circumstances that precluded the filing of an application within one year, the Board can nonetheless pay compensation provided the application is filed within three years of the underlying event (s. 55(3)). As the plaintiff points out, neither of these circumstances arise on the facts of this case as it is more than three years since the accident. The plaintiff says that any possibility for a claim under the Workers Compensation Act in the circumstances of his case is set out in s. 55(3.1) which states the following:</w:t>
      </w:r>
      <w:r>
        <w:rPr>
          <w:rFonts w:ascii="arial" w:eastAsia="arial" w:hAnsi="arial" w:cs="arial"/>
          <w:sz w:val="20"/>
          <w:lang w:val="en-US" w:eastAsia="en-US" w:bidi="ar-SA"/>
        </w:rPr>
        <w:cr/>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may pay the compensation provided by this Part for the period commencing on the date the Board received the application for compensation if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is satisfied that special circumstances existed which precluded the filing of an application within one year after the date referred to in subsection (2),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filed more than 3 years after the date referred to in subsection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such, if an application is filed more than three years since the accident, the plaintiff is not precluded from applying but any benefits he receives will be backdated only to when he made the application and not from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position is if the amendment is allowed, it should be conditional upon an undertaking from the defendants' insurer that it will pay to the plaintiff the equivalent of the benefits he would have received under the Workers Compensation Act had he applied on time. He relies on Parmar v. Virk, </w:t>
      </w:r>
      <w:hyperlink r:id="rId902" w:history="1">
        <w:r>
          <w:rPr>
            <w:rFonts w:ascii="arial" w:eastAsia="arial" w:hAnsi="arial" w:cs="arial"/>
            <w:i/>
            <w:color w:val="0077CC"/>
            <w:sz w:val="20"/>
            <w:u w:val="single"/>
            <w:shd w:val="clear" w:color="auto" w:fill="FFFFFF"/>
            <w:lang w:val="en-US" w:eastAsia="en-US" w:bidi="ar-SA"/>
          </w:rPr>
          <w:t>(1995) 9 B.C.L.R. (3rd) 394</w:t>
        </w:r>
      </w:hyperlink>
      <w:r>
        <w:rPr>
          <w:rFonts w:ascii="arial" w:eastAsia="arial" w:hAnsi="arial" w:cs="arial"/>
          <w:color w:val="000000"/>
          <w:sz w:val="20"/>
          <w:lang w:val="en-US" w:eastAsia="en-US" w:bidi="ar-SA"/>
        </w:rPr>
        <w:t xml:space="preserve"> (BCCA), Brzozowski v. Greyhound Canada Trans. Corp., </w:t>
      </w:r>
      <w:hyperlink r:id="rId903" w:history="1">
        <w:r>
          <w:rPr>
            <w:rFonts w:ascii="arial" w:eastAsia="arial" w:hAnsi="arial" w:cs="arial"/>
            <w:i/>
            <w:color w:val="0077CC"/>
            <w:sz w:val="20"/>
            <w:u w:val="single"/>
            <w:shd w:val="clear" w:color="auto" w:fill="FFFFFF"/>
            <w:lang w:val="en-US" w:eastAsia="en-US" w:bidi="ar-SA"/>
          </w:rPr>
          <w:t>[1998] B.C.J. No. 2400</w:t>
        </w:r>
      </w:hyperlink>
      <w:r>
        <w:rPr>
          <w:rFonts w:ascii="arial" w:eastAsia="arial" w:hAnsi="arial" w:cs="arial"/>
          <w:color w:val="000000"/>
          <w:sz w:val="20"/>
          <w:lang w:val="en-US" w:eastAsia="en-US" w:bidi="ar-SA"/>
        </w:rPr>
        <w:t>, and other cases as authority to require an undertaking as a condition of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Parmar, the defendant had applied to raise the defence of s. 10 of the Workers Compensation Act (the "s. 10 Defence") before a master and the application was denied. The defendant appealed to a justice of the court who denied the appeal. The defendant then applied for leave to appeal before Goldie J.A. The application for leave to appeal was heard some 11 days before the proposed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Goldie J.A. reviewed the effect of the s. 10 Defence and the prejudice to the plaintiff occasioned by s. 55 of the Workers Compensation Act. The court held that leave to appeal would be granted; however, he was prepared to do so on two conditions, first, that the plaintiff would be entitled to costs thrown away in preparation for the pending trial, it being obvious that the trial could not proceed if the amendment were granted, and the second condition addressed the issue of prejudice. At paragraph 26, Goldie J.A. set out the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Now as to the condition. If leave is granted and the ultimate result is a determination by the Board that it has jurisdiction but it declines to extend the limitation period in s.55 of the Board's Act with the result that the plaintiff is unable to apply for benefits then, in such event the Corporation undertakes in form acceptable to the plaintiff's solicitor to pay to the plaintiff the equivalent of the benefits he would have received if he had applied in time. Now, if counsel are unable to work out the terms of the undertaking and that need not be settled by Wednesday evening, I will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Brzozowski, the plaintiffs were passengers on a Greyhound bus that flipped over, causing them injury. The s. 10 Defence was addressed in para. 6 of the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Counsel for the defendant, having ascertained that each of the plaintiffs was employed as an independent contractor diver-fisherman and, immediately prior to boarding the bus out of Prince Rupert had been working for various buyers from boats in Prince Rupert, at the Examination for Discovery held on November 19, 1997 raised what, for the sake of brevity, I will describe as the s.10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Owen-Flood J. concluded that he was obligated to permit the defendants to amend their statement of defence to plead the s. 10 Defence but went on to conclude that an undertaking similar to the one imposed by Goldie J.A. in Parmar was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am of the view that the reasoning of Goldie J.A., even though he was considering an application for leave to appeal, is equally pertinent in considering an amendment to plead a s. 10 defence where there has been, as there is at bar and was in the Parmar case, substantial delay in seeking the amendment.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courts are concerned with matters of justice and substance as opposed to form. I am not persuaded in law by the argument to the contrary by counsel for the defendant. I am persuaded that I do indeed have the discretion to grant the term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Hinkson J. followed Owen-Flood J.'s decision in Brzozowski, in Eugenio v. Dhillon, </w:t>
      </w:r>
      <w:hyperlink r:id="rId904" w:history="1">
        <w:r>
          <w:rPr>
            <w:rFonts w:ascii="arial" w:eastAsia="arial" w:hAnsi="arial" w:cs="arial"/>
            <w:i/>
            <w:color w:val="0077CC"/>
            <w:sz w:val="20"/>
            <w:u w:val="single"/>
            <w:shd w:val="clear" w:color="auto" w:fill="FFFFFF"/>
            <w:lang w:val="en-US" w:eastAsia="en-US" w:bidi="ar-SA"/>
          </w:rPr>
          <w:t>2007 BCSC 1906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For the reasons that follow, I conclude that the defendants should be permitted to amend the response to civil claim to include the s. 10 Defence, conditional upon their insurer providing an undertaking to the plaintiff similar to that in Parmar.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satisfied that the defendants have met the low threshold to justify an order to amend the response to civil claim to plead the s. 10 Defence. I accept that the possible s. 10 Defence has only recently come to the defendants' attention, and the defendants brought this application more promptly than in those cases. The trial is almost a year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the interests of justice require that I allow the defendants to pursue the s. 10 Defence. I have reviewed the decisions in Brzozowski and Eugenio where the same amendment was permitted and there is nothing in this case that would distinguish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then turn to the question of whether the undertaking in Brzozowski and Eugenio should be imposed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say that no undertaking ought to be imposed here because any prejudice the plaintiff suffers will be a consequence of his lack of candor in continuing to assert that he was not working when he ought to have filed a claim under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problem with the defendants' argument is that the defendants presuppose that the plaintiff was a worker at the time of the accident. The question of whether or not someone was within the course of employment at any particular moment can be a matter of some controversy and is something over which the Workers Compensation Board has sole jurisdiction to decide. The plaintiff has sworn that he was not working in his examination for discovery and in his affidavit. The plaintiff's evidence may well be accepted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Owen-Flood J. considered and rejected the argument that the plaintiff ought to have applied for benefits under the Workers Compensation Act in Brzozowski and his decision is binding on me unless it can be distinguished. I conclude that I must follow the court's decision in Brzozowski. Indeed, unlike in our case, there presumably could have been no doubt that the defendant in Brzozowski was working at the time of the accident given that he was driving a Greyhound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 first the plaintiff was aware that the defendant Pearson was working at the time of the accident was February 6, the same date Pearson advised that he took the position the plaintiff was also working. The s. 10 Defence is only applicable if both the plaintiff and the defendant were working. Even if the plaintiff were working at the time of the accident, he would not have known there was a possible bar to his claim until he became aware the defendant was also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also say that the undertaking should not be imposed because its imposition in Brzozowski and Eugenio was due to the delay between when the defendant was aware of a possible s. 10 Defence and when the application was actually brought. I do not read those cases that way. If the court's concern had been the delay in bringing the application to amend the pleadings, the undertaking would presumably have only needed to address the prejudice resulting from when the defendant became aware of the s. 10 Defence and the filing of the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undertakings in Brzozowski and Eugenio are not so limited. Those undertakings required the defendant insurer to undertake to pay the equivalent of any benefits the plaintiff would have received but for the delay in making the application to the Workers Compensation Board without reference to the application to amend. I conclude that the undertaking was to address the prejudice to the plaintiff caused by the fact that the s. 10 Defence was raised after the expiration of the presumptive limitation period in s. 55(1) of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the defendants say that if I am inclined to permit the amendment conditional upon the undertaking, that I should instead adjourn the application in order that the defendants have an opportunity to review the plaintiff's entire employment file, which they say I should order produced at this time. I am not prepared to do this for two reasons: a) Production of the employment file would not be determinative of whether the plaintiff was acting within the scope of his employment at the time of the accident; and b) The determination of whether or not a person such as the plaintiff was within the scope of their employment is a matter within the sole jurisdiction of the Workers Compensation Board and is thus not something this court has the authority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circumstances, I am prepared to permit the defendants to amend their response to civil claim, conditional on their insurer providing an undertaking that if the Workers Compensation Board determines that it has jurisdiction but refuses to extend the limitation period to allow the plaintiff benefits from the date of the accident, the insurance company will pay the equivalent of any benefits the plaintiff would have received save for the delay in making the application to the Board, less any benefits paid to the plaintiff pursuant to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reference to benefits commencing at the date of the accident is to address the plaintiff's concern that since more than three years has elapsed, there is a risk pursuant to s. 55(3.1) of the Workers Compensation Act that benefits would only be paid from the date of the application. This may or may not be a concern given that the plaintiff did not cease work entirely until 2016. The reference to Part 7 benefits already paid addresses the concern of the defendants as to the potential for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keeping with the court's decisions in Brzozowski and Eugenio,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WILSON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Rossi v. Barbieri, [2013] B.C.J. No. 979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E121688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Julia Rossi, Claimant, and Giovanni Bruno Barbieri Also Known as John Bruno Barbieri, Also Known as John Paul Barbieri Also Known as John Peter Barbieri,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5"/>
      <w:bookmarkEnd w:id="238"/>
      <w:r>
        <w:rPr>
          <w:rFonts w:ascii="arial" w:eastAsia="arial" w:hAnsi="arial" w:cs="arial"/>
          <w:b/>
          <w:color w:val="000000"/>
          <w:sz w:val="20"/>
          <w:lang w:val="en-US" w:eastAsia="en-US" w:bidi="ar-SA"/>
        </w:rPr>
        <w:t>Civil litigation — Civil procedure — Judgments and orders — Summary judgments — To dismiss action — Application by defendant for summary dismissal of plaintiffs actions for spousal support and damages for physical and sexual assault allowed in part — Parties cohabited for nine months until defendant was arrested, but not charged with, assaulting plaintiff — Parties resumed cohabitation one year later and cohabited for additional six months — Plaintiff received legal advice on civil claim in April 2010, but did not commence action until July 2012 — Plaintiff was not a spouse as parties did not cohabit for two years — All but one claim arising from defendant's alleged non-sexual tortious actions were statute-barred — No evidence sexual assaults occurred.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Limitations of actions — Time — When time begins to run — Expiry of limitation periods — Effect of — Application by defendant for summary dismissal of plaintiffs actions for spousal support and damages for physical and sexual assault allowed in part — Parties cohabited for nine months until defendant was arrested, but not charged with, assaulting plaintiff — Parties resumed cohabitation one year later and cohabited for additional six months — Plaintiff received legal advice on civil claim in April 2010, but did not commence action until July 2012 — Plaintiff was not a spouse as parties did not cohabit for two years — All but one claim arising from defendant's alleged non-sexual tortious actions were statute-barred — No evidence sexual assaults occurred.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Maintenance and support — Spousal support — Practice and procedure — Application by defendant for summary dismissal of plaintiffs actions for spousal support and damages for physical and sexual assault allowed in part — Parties cohabited for nine months until defendant was arrested, but not charged with, assaulting plaintiff — Parties resumed cohabitation one year later and cohabited for additional six months — Plaintiff received legal advice on civil claim in April 2010, but did not commence action until July 2012 — Plaintiff was not a spouse as parties did not cohabit for two years — All but one claim arising from defendant's alleged non-sexual tortious actions were statute-barred — No evidence sexual assaults occurred.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4"/>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dismissal of the plaintiff's two actions. The parties met in September 2005. The defendant alleged that they each retained their own residence until July 1, 2007, when they moved in together into a rental unit for which they both signed a tenancy agreement. Shortly after they commenced cohabitation, the parties signed a cohabitation agreement in which they acknowledged that they had been living together, but did not start a marriage-like relationship until July 1, 2007. The relationship ended in March 2008, when the defendant was arrested, but not charged, for assaulting the plaintiff. They did not speak to each other for a year, and then began dating again in April 2009. They resided together in a suite owned by the defendant until January 2011, when the defendant asked the plaintiff to leave. She did not leave and he changed the locks and obtained and order for exclusive occupancy of the home. The plaintiff commenced a family law proceeding for spousal support and compensation. In addition, she consulted a lawyer about a civil claim in April 2010 and commenced a civil action for damages for physical and sexual assault in July 2012. The defendant sought summary dismissal of both actions. He argued that the family law action should be dismissed as the plaintiff did not meet the definition of spouse, the claim was commenced after the expiry of the limitation period and the parties had a cohabitation agreement that resolved all issues. The defendant sought the dismissal of the civil action on the basis that the claims were statute-barred under the Limitations Act and were without merit.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29"/>
            <w:bookmarkEnd w:id="24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meet the definition of spouse. The parties intended the separation in March 2008 to be final. The 15-month hiatus exceeded both period of cohabitation. No matter how one calculated the two periods of cohabitation, they did not add up to the two years necessary to achieve status as a spouse. All but one claim arising from the non-sexual tortious actions allegedly committed by the defendant were statute-barred. The plaintiff had the knowledge, and received the professional advice, to be able to commence an action as early as April 2010, but did not do so until July 2012, more than two years later. There was no evidence that any of the alleged sexual assaults occurred.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29"/>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2"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Law Act,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RSBC 1996, CHAPTER 128, 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 s. 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5"/>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Ms. Rossi: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I. Phillips.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5"/>
      <w:bookmarkEnd w:id="243"/>
      <w:r>
        <w:pict>
          <v:line id="_x0000_s1214"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D. KLOEGMAN J."/>
            <w:bookmarkEnd w:id="244"/>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Julia Rossi represents herself in two actions that she commenced on July 10 and July 27, 2012, respectively. The July 10 action was brought as a family proceeding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spousal support and compensation under s. 65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The July 27 action was brought as a civil action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damages for physical and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Barbieri, through counsel, applies for the summary dismissal of both actions, with costs, and for the release of a certificate of pending litigation filed against his property located at 433 Sentinel Road, Port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parties agree that the applications for summary dismissal should be heard at the same time for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 E121688 (THE "FAMILY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Barbieri submits that Ms. Rossi's Family Action should be dismissed because:</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Rossi does not meet the definition of "spouse" under either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and therefore does not have standing to bring a family law claim under either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if she does meet the definition of "spouse," the Family Action was brought after the expiry of the limitation date under either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have a cohabitation agreement that resolves all issues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do not need to consider grounds b) and c) above, because I find that Mr. Barbieri has been successful in proving on a balance of probabilities that Ms. Rossi does not meet the definition of spouse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definition of spouse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"spouse" means a person who</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married to another person,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under Parts 5 and 6, lived with another person in a marriage-like relationship for a period of at least 2 years if the application under the Act is made within one year after they ceased to live together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definition of spouse under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Spouses and relationships between spouses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 person is a spouse for the purposes of this Act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lived with another person in a marriage-like relationship,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done so for a continuous period of at least 2 years,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in Parts 5 </w:t>
      </w:r>
      <w:r>
        <w:rPr>
          <w:rFonts w:ascii="arial" w:eastAsia="arial" w:hAnsi="arial" w:cs="arial"/>
          <w:i/>
          <w:color w:val="000000"/>
          <w:sz w:val="20"/>
          <w:lang w:val="en-US" w:eastAsia="en-US" w:bidi="ar-SA"/>
        </w:rPr>
        <w:t>[Property Division]</w:t>
      </w:r>
      <w:r>
        <w:rPr>
          <w:rFonts w:ascii="arial" w:eastAsia="arial" w:hAnsi="arial" w:cs="arial"/>
          <w:color w:val="000000"/>
          <w:sz w:val="20"/>
          <w:lang w:val="en-US" w:eastAsia="en-US" w:bidi="ar-SA"/>
        </w:rPr>
        <w:t xml:space="preserve"> and 6 </w:t>
      </w:r>
      <w:r>
        <w:rPr>
          <w:rFonts w:ascii="arial" w:eastAsia="arial" w:hAnsi="arial" w:cs="arial"/>
          <w:i/>
          <w:color w:val="000000"/>
          <w:sz w:val="20"/>
          <w:lang w:val="en-US" w:eastAsia="en-US" w:bidi="ar-SA"/>
        </w:rPr>
        <w:t>[Pension Division]</w:t>
      </w:r>
      <w:r>
        <w:rPr>
          <w:rFonts w:ascii="arial" w:eastAsia="arial" w:hAnsi="arial" w:cs="arial"/>
          <w:color w:val="000000"/>
          <w:sz w:val="20"/>
          <w:lang w:val="en-US" w:eastAsia="en-US" w:bidi="ar-SA"/>
        </w:rPr>
        <w:t>, has a child with the other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relationship between spouses begins on the earlier of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they began to live together in a marriage-like relationship;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spouses may be separated despite continuing to live in the same residence, and</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as evidence of separation,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 by one spouse to the other spouse, of an intention to separate permanently,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taken by a spouse, that demonstrates the spouse's intention to separate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Barbieri deposes that he met Ms. Rossi in September 2005. They each retained their own residence until July 1, 2007, when they moved in together into premises on Kitchener Street in Burnaby, for which they had both signed a residential tenancy agreement. On March 28, 2008, Mr. Barbieri was arrested (but never charged) for assault of Ms. Rossi and the relationship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Barbieri deposes that the parties did not speak to each other for a year, and then began dating again in April 2009. They resided together in a suite owned by Mr. Barbieri from August 2009 until January 11, 2010, when Mr. Barbieri asked Ms. Rossi to leave. She did not leave, he changed the locks, and on January 29, 2010, she got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restraining order and an order for exclusive occupancy of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on Mr. Barbieri's version, the parties cohabited for two separate periods: July 2007 to March 2008 (nine months); and then again between August 2009 and January 2010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Rossi was not consistent in either her evidence or her submissions regarding dates of cohabitation. In her affidavit sworn October 16, 2012, she said the common law relationship began in October 2006 when Mr. Barbieri moved into her home in Burnaby. An exhibit to that same affidavit stated that she moved into his residence on February 10, 2007. Later in the same affidavit, she deposed that they moved into his residence in February 2007 on a "temporary"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Ms. Rossi's later affidavit of February 15, 2013, she said they started a common law relationship in June 2006, but later in that affidavit she stated that the parties began living together in one residence from February 2007 to May 2007, and that they moved into the Kitchener Street residence in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Ivana Agostini, Ms. Rossi's daughter, deposed that her mother and Mr. Barbieri lived together in February 2007 at Mr. Barbieri's residence on East Pender.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hearing of the summary judgment application, Ms. Rossi submitted that she and Mr. Barbieri began living in a marriage-like relationship in November 2005. There was no evidence from any source to support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weightiest evidence regarding when the parties actually cohabited in a marriage-like relationship is reflected in the residential tenancy agreement dated July 1, 2007, and the letters of negotiation between solicitors for each party together with the subsequent draft of the cohabitation agreement signed by both parties and dated July 15, 2007 (the "Cohabitation Agreement"). It was Ms. Rossi who requested, through her solicitor, that the date of cohabitation given in the recitals of the Cohabitation Agreement be set as July 15, 2007. In fact, the recital states, in part: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commenced cohabitation on or about July 15, 2007 (the "Commencement Date") at a rental accommodation located at 6657 Kitchener Street, Burnaby, B.C. (the "Family Residence").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hereby acknowledge that:</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parties have been living together, and may well continue to do so, they do not consider the relationship to be marriage-like;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clear evidence of the lack of intention of both parties to live as common law spouses before July 15, 2007, and perhaps even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Rossi agreed that any common law relationship that existed on March 28, 2008 ceased on Mr. Barbieri's arrest on that day. She stated in her Response to Notice of Application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ceased cohabiting together on March 28, 2008 as a result of the respondent's arrest for assaulting the claimant. A common law relationship between the respondent and the claimant did not exist between March 29, 2008 and May 2009, the parties entered into a common law relationship June 29, 2009 until January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second period of cohabitation, the parties do not disagree that Ms. Rossi moved into the basement suite of property owned by Mr. Barbieri in June 2009, nor do they disagree that the relationship was over by the end of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Rossi did not submit that I should regard the two periods of cohabitation as being cumulative. In fact, she conceded in her written response that a common law relationship did not exist in the intervening period. In any event, the evidence as a whole supports a finding of two distinct periods of cohabitation, one from July 2007 to March 2008, and one from June 2009 to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clear from the evidence that both parties intended the separation in March 2008 to be final. The hiatus of 15 months in between exceeded both the periods of cohabitation before the hiatus and the period after. Theirs was a case where the relationship was "recreated" in 2009, not "revived" (</w:t>
      </w:r>
      <w:r>
        <w:rPr>
          <w:rFonts w:ascii="arial" w:eastAsia="arial" w:hAnsi="arial" w:cs="arial"/>
          <w:i/>
          <w:color w:val="000000"/>
          <w:sz w:val="20"/>
          <w:lang w:val="en-US" w:eastAsia="en-US" w:bidi="ar-SA"/>
        </w:rPr>
        <w:t>Roch v. Payne</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2000 BCSC 869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 matter how one calculates these two periods of cohabitation, they do not add up to the two years necessary to achieve status as a spouse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The claimant has no status to bring an action under either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has no entitlement under either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Family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 S125328 (THE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amended Notice of Civil Claim, Ms. Rossi seeks relief for a plethora of wrongs, some of which are unknown to the law, and some of which confuse tort and contractual principles of damages. In my effort to assist her, I was able to ascertain that the true purpose and intent in bringing the Civil Action was to seek non-pecuniary and pecuniary damages for injuries suffered by her as a result of alleged physical and sexual assaults inflicted upon her by Mr. Barbieri.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Barbieri brought this application for summary judgment dismissing Ms. Rossi's claims on the grounds that: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of physical assault are statute-barred under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merit to either the claims of sexual assault or physical assault.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Rossi submitted that the running of the limitation period should be postponed, or alternatively, that the physical assaults were linked to the sexual assaults for which there are no limitation periods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Generally speaking, civil actions for damages for physical assault are governed by s. 3(2)(a) of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(2) After the expiration of 2 years after the date on which the right to do so arose a person may not bring any of the following actions: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6(3) provides for a postponement of the running of time under the above section until the following circumstances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onus is on Ms. Rossi to prove the postponement of the limitation period on a balance of probabilities. Ms. Rossi submitted, in essence, that as a result of the alleged abuses by Mr. Barbieri and her poor financial state, she was not able to take appropriate advice or gain the knowledge necessary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Rossi's submission is not supported by the evidence. In April 2010, she consulted with Gary Vlug, barrister and solicitor, and he wrote a demand letter to Mr. Barbieri seeking "to recover damages in several forms" on behalf of Ms. Rossi. On page three of the four-page letter outlining Ms. Rossi's various claims, Mr. Vlug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these damages Julia is seeking compensation. </w:t>
      </w:r>
      <w:r>
        <w:rPr>
          <w:rFonts w:ascii="arial" w:eastAsia="arial" w:hAnsi="arial" w:cs="arial"/>
          <w:b/>
          <w:color w:val="000000"/>
          <w:sz w:val="20"/>
          <w:lang w:val="en-US" w:eastAsia="en-US" w:bidi="ar-SA"/>
        </w:rPr>
        <w:t>Prior to instituting a court action</w:t>
      </w:r>
      <w:r>
        <w:rPr>
          <w:rFonts w:ascii="arial" w:eastAsia="arial" w:hAnsi="arial" w:cs="arial"/>
          <w:color w:val="000000"/>
          <w:sz w:val="20"/>
          <w:lang w:val="en-US" w:eastAsia="en-US" w:bidi="ar-SA"/>
        </w:rPr>
        <w:t xml:space="preserve"> she has asked me to write this letter making a demand for damages so that she can recoup her legal fees once an award has been made against you.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that Ms. Rossi had the knowledge, and received the professional advice, to be able to bring an action as early as April 7, 2010. She did not do so until July 27, 2012, more than two years later. I find that any claims arising from the non-sexual tortious actions allegedly committed by Mr. Barbieri before July 27, 2010, are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Rossi relies on the decision of Stromberg-Stein J. in </w:t>
      </w:r>
      <w:r>
        <w:rPr>
          <w:rFonts w:ascii="arial" w:eastAsia="arial" w:hAnsi="arial" w:cs="arial"/>
          <w:i/>
          <w:color w:val="000000"/>
          <w:sz w:val="20"/>
          <w:lang w:val="en-US" w:eastAsia="en-US" w:bidi="ar-SA"/>
        </w:rPr>
        <w:t>J.L.M. v. P.H.</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rev'd in part </w:t>
      </w:r>
      <w:hyperlink r:id="rId531"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for the proposition that physical assaults linked with sexual assaults are not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important to note a key distinction in the facts and reasoning of the courts in </w:t>
      </w:r>
      <w:r>
        <w:rPr>
          <w:rFonts w:ascii="arial" w:eastAsia="arial" w:hAnsi="arial" w:cs="arial"/>
          <w:i/>
          <w:color w:val="000000"/>
          <w:sz w:val="20"/>
          <w:lang w:val="en-US" w:eastAsia="en-US" w:bidi="ar-SA"/>
        </w:rPr>
        <w:t>J.L.M. v. P.H.</w:t>
      </w:r>
      <w:r>
        <w:rPr>
          <w:rFonts w:ascii="arial" w:eastAsia="arial" w:hAnsi="arial" w:cs="arial"/>
          <w:color w:val="000000"/>
          <w:sz w:val="20"/>
          <w:lang w:val="en-US" w:eastAsia="en-US" w:bidi="ar-SA"/>
        </w:rPr>
        <w:t xml:space="preserve"> They were dealing with a situation of ongoing sexual and physical abuse of a child. The uniqueness of historical child abuse and the delay in appreciation of subsequent adverse consequences to a plaintiff has been recognized by the courts (</w:t>
      </w:r>
      <w:r>
        <w:rPr>
          <w:rFonts w:ascii="arial" w:eastAsia="arial" w:hAnsi="arial" w:cs="arial"/>
          <w:i/>
          <w:color w:val="000000"/>
          <w:sz w:val="20"/>
          <w:lang w:val="en-US" w:eastAsia="en-US" w:bidi="ar-SA"/>
        </w:rPr>
        <w:t>Gray v. Reeves</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(1992), 64 B.C.L.R. (2d) 275</w:t>
        </w:r>
      </w:hyperlink>
      <w:r>
        <w:rPr>
          <w:rFonts w:ascii="arial" w:eastAsia="arial" w:hAnsi="arial" w:cs="arial"/>
          <w:color w:val="000000"/>
          <w:sz w:val="20"/>
          <w:lang w:val="en-US" w:eastAsia="en-US" w:bidi="ar-SA"/>
        </w:rPr>
        <w:t xml:space="preserve"> (S.C.)). Stromberg-Stein J. found on the facts in her case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victim of both childhood physical and sexual abuse should be in no different position from a victim of childhood sexual abuse alone by having their physical abuse action potentially limited by time. The same underlying concerns are present in both situations. The difficulty in recognizing the causal connection between the acts and the mental consequences is noted above in </w:t>
      </w:r>
      <w:r>
        <w:rPr>
          <w:rFonts w:ascii="arial" w:eastAsia="arial" w:hAnsi="arial" w:cs="arial"/>
          <w:i/>
          <w:color w:val="000000"/>
          <w:sz w:val="20"/>
          <w:lang w:val="en-US" w:eastAsia="en-US" w:bidi="ar-SA"/>
        </w:rPr>
        <w:t>Gray v. Reeves</w:t>
      </w:r>
      <w:r>
        <w:rPr>
          <w:rFonts w:ascii="arial" w:eastAsia="arial" w:hAnsi="arial" w:cs="arial"/>
          <w:color w:val="000000"/>
          <w:sz w:val="20"/>
          <w:lang w:val="en-US" w:eastAsia="en-US" w:bidi="ar-SA"/>
        </w:rPr>
        <w:t>. Based on the similarity of bringing actions for damages resulting from childhood sexual abuse alone and those resulting from both physical and sexual abuse, the scope of s. 3(3)(k) should be broad enough to encompass a claim for physical abuse which is suffered as a child at the hands of the same defendant against whom the sexual abuse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Where, as in the case at bar, the plaintiff is an educated, mature adult complaining of relatively recent physical assaults which occurred on separate dates from the alleged sexual assaults, it will be much more difficult to obtain relief under the postponement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stated earlier, I find that as early as April 7, 2010, Ms. Rossi's complaints through her lawyer reflect her cognizance of damages allegedly suffered by her at the hands of Mr. Barbieri and the right to bring an action for such damages. She simply failed to bring her action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Upon reviewing the various dates of specific alleged physical assaults, I find that the only one that has survived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is the one purported to have occurred on August 10,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affidavits and submissions, Ms. Rossi complains of sexual abuse throughout the entire relationship. The specific allegations of sexual abuse relate to occurrences on February 25, 2007, and March 14,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singularly surprising that if these assaults occurred, as Ms. Rossi has deposed, she has not been able to adduce any reliable evidence from any source that she has ever complained of the specific assaults to anyone in authority, or even to Mr. Barbieri.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example, Ms. Rossi deposed in her first affidavit that on February 25,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 physically restrained me in the bedroom and began to force me to have sexual relations with him. I told him to stop. The Respondent at this time was trying to penetrate me with his penis. The Respondent replied that he wanted to have sex. I was unable to have a conversation with the Respondent about this sexual assault and physical abuse, therefore I sent the Respondent an email the following day dated February, 26, 2007 outlining various matters regarding our relationship, our verbal agreements, the cohabitation agreement, physically abusing me, and about him sexually assaulting me the previous night. </w:t>
      </w:r>
      <w:r>
        <w:rPr>
          <w:rFonts w:ascii="arial" w:eastAsia="arial" w:hAnsi="arial" w:cs="arial"/>
          <w:b/>
          <w:color w:val="000000"/>
          <w:sz w:val="20"/>
          <w:lang w:val="en-US" w:eastAsia="en-US" w:bidi="ar-SA"/>
        </w:rPr>
        <w:t>(Attached as exhibit "L" is a copy of the email dated February 26, 2007 addressed to the Respondent outlining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when one turns to Exhibit L, the email referred to above, it simply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Saturday (Feb 24), I had a medical appointment and had to prepare for it; I did not get much sleep the night before. I was/am not feeling well and in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Saturday night we were intimate and then we both fell asleep. You woke up in the middle of the night, waking me up with your verbally rude comments about "how f'in tired you are of me" - "that I was supposed to wake you up to have sex". As a result, I was not able to fall asleep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intentions on Sunday were to go to church and to the cemetary to change the flowers for my parents. Instead I had to beg to get a little more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got up for moment to have a little bit of coffee and you start questioning me. I threw my coffee in the sink and went to bed/bedroom to be alone. You follow me and tell me that I love you, I will come to church and the cemetary with you Julia. I am not poking you I want to be intimate with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mention of physical restraint or attempts at forced intercourse anywhere in this four-page email to Mr. Barbieri on February 26,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Similarly, Ms. Rossi deposed that she was raped by Mr. Barbieri on March 14, 2008, and that she had made a verbal statement to R.C.M.P. Constable Sidhu in March 2008 about the rape. Ms. Rossi was able to obtain the police records and attached them as exhibits to her affidavit of April 15, 2013. The report to Crown counsel pertains to a description of physical assault only on March 28, 2008. Under the heading "Relationship History" there is a reference to an eight-day cruise in 2007 wherein Mr. Barbieri apparently demanded sex and yelled at her for not having sex with him. There is no mention of any rape in March 2008 or any sexual assaults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transcription of the verbal statement made by Ms. Rossi to Constable Sidhu referred to in Ms. Rossi's affidavit formed part of the police records attached as an exhibit. Nowhere does it mention anything about sexual assault on March 14, 2008, or indeed at any other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Barbieri deposed in his affidavit of April 4, 2013, that the police have never questioned him about any sexual assault on Ms. Rossi.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None of the letters from Victim Services, Battered Women Support Services and UBC Women's Centre attached to Ms. Rossi's affidavit refer to any sexual assaults. A letter dated March 19, 2009, from the Crime Victims Assistance Program refers to "a relationship in which [Ms. Rossi] experienced emotional, verbal and physical abuse." There is no mention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None of the medical reports attached to Ms. Rossi's affidavits refer to sexual assault. The letter from Battered Women Support Services dated February 7, 2011, refers to Ms. Rossi accessing Victim Services, Legal Advocacy and Stopping the Violence programs between January 29, 2009 to February 7, 2011, as a result of "ongoing experiences of physical, emotional and financial abuse in [Ms. Rossi's] relationship." There is no mention of sexual assault. The letter from Dr. Dilli, psychiatrist, dated March 28, 2011, states that Ms. Rossi told him that her mood disturbance had been caused by abuse in her common law relationship "domestic violence...assault...complete devastation financially...I lost everything." Once again, there is no mention of sexual assault to or from Dr. Dilli.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What is apparent from the whole of the evidence and Ms Rossi's submissions is that she believes she has been abused at the hands of Mr. Barbieri and that he is responsible for all her problems, both mental and financial. As noted by Dr. Dilli, there have been a number of traumatic events in Ms. Rossi's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mother died, she went through bankruptcy, she was financially destitute and had to file for social services, and her relationship with Mr. Barbieri ended. There was also evidence of some difficulties with her daughter, which resulted in police involvement. She had some physical problems: breast cancer, back problems, and being injured in a car accident four days after her mother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Notwithstanding these other traumatic events, Ms. Rossi has fixated on Mr. Barbieri as the cause of all her present problems to the exclusion of all else. I am tempted to infer that because most of her complaints are now time barred, she has chosen to characterize the behaviour of Mr. Barbieri as sexual abuse, a claim for which is not time barred. Whatever her motivation, she has tendered no reliable evidence of sexual assault, and has seriously impacted her credibility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burden of proof on Ms. Rossi to prove such a serious allegation against Mr. Barbieri is a high one (</w:t>
      </w:r>
      <w:r>
        <w:rPr>
          <w:rFonts w:ascii="arial" w:eastAsia="arial" w:hAnsi="arial" w:cs="arial"/>
          <w:i/>
          <w:color w:val="000000"/>
          <w:sz w:val="20"/>
          <w:lang w:val="en-US" w:eastAsia="en-US" w:bidi="ar-SA"/>
        </w:rPr>
        <w:t>J.L.M. v. P.H.</w:t>
      </w:r>
      <w:r>
        <w:rPr>
          <w:rFonts w:ascii="arial" w:eastAsia="arial" w:hAnsi="arial" w:cs="arial"/>
          <w:color w:val="000000"/>
          <w:sz w:val="20"/>
          <w:lang w:val="en-US" w:eastAsia="en-US" w:bidi="ar-SA"/>
        </w:rPr>
        <w:t>, para. 117), and she has not illustrated that she has the evidence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Barbieri is entitled to dismissal of any claims for damages arising out of any alleged sexual assaults because Ms. Rossi has failed to prove on a balance of probabilities that any such assaults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Physical Assault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Barbieri concedes, and I have found, that an action based on the allegations of physical assault on August 10, 2010, are not statute-barred by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However, Mr. Barbieri submits that there is no reliable evidence that an assault occurred, or that Ms. Rossi was injured or suffered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Rossi's version is that she was in the doorway of a store on East Hastings Street in Vancouver with her friend, Ms. Gioe, when Mr. Barbieri pushed her left shoulder, yelled at her and thumped on her chest with his hand. Mr. Barbieri's version is that he approached Ms. Rossi in breach of a restraining order to talk to her about removing items from the house that they had shared. She started swearing at him, he turned to walk away, and she poked him in the back. He pointed his finger at her, called her a whore, and returned to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Rossi deposed that there was a third party witness to the event, but she tendered no evidence from him or her friend, Ms. Gioe.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Importantly, Ms. Rossi has filed no evidence of any damages to her from this incident. However, unlike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intentional torts such as assault and battery do not require damages to be actionable. I would not strike out summarily the plaintiff's claim for damages arising from the breach of the restraining order and the alleged physical assault of August 20, 2010. There was an altercation that day of some sort, and I am not satisfied it can be dealt with summarily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Rossi's Notice of Family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Certificate of Pending Litigation filed June 15, 2012, in the Family Action against Mr. Barbieri's property, Lot 2 DL 349 Group 1 NWM DP 68668 P.I.D. 000-835-625, shall be cancelled immediately without posting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Rossi's Notice of Civil Claim is dismissed with respect to all but any claims arising out of the alleged physical assault and breach of restraining order on August 10, 2010. The costs of the application to strike the Notice of Civil Claim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Once counsel has drafted the order, it can be sent to me for approval and signing. Ms. Rossi's approval as to the form of the order is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Seidel v. Telus Communications Inc., [2016] B.C.J. No. 127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14-18, November 6-7,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September 9, 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October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L050143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261 A.C.W.S. (3d)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393 D.L.R. (4th) 484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Michelle Seidel, Plaintiff, and Telus Communications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6"/>
      <w:bookmarkEnd w:id="245"/>
      <w:r>
        <w:rPr>
          <w:rFonts w:ascii="arial" w:eastAsia="arial" w:hAnsi="arial" w:cs="arial"/>
          <w:b/>
          <w:color w:val="000000"/>
          <w:sz w:val="20"/>
          <w:lang w:val="en-US" w:eastAsia="en-US" w:bidi="ar-SA"/>
        </w:rPr>
        <w:t>Civil litigation — Civil procedure — Parties — Class or representative actions — Certification — Application by plaintiff to certify action as class action allowed — Plaintiff alleged that defendant telecommunications company engaged in deceptive acts and practices by charging customers, without notice, for time communications network needed to connect incoming calls to cellphones — Pleadings disclosed cause of action — It was not plain and obvious that plaintiff did not have "interest" in money in defendant's possession — It was not plain and obvious that she had to have relied on alleged deceptive acts or practices or that reliance was prerequisite to restoration order.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Deceptive marketing — Misrepresentation to public — Price — Application by plaintiff to certify action as class action allowed — Plaintiff alleged that defendant telecommunications company engaged in deceptive acts and practices by charging customers, without notice, for time communications network needed to connect incoming calls to cellphones — Pleadings disclosed cause of action — It was not plain and obvious that plaintiff did not have "interest" in money in defendant's possession — It was not plain and obvious that she had to have relied on alleged deceptive acts or practices or that reliance was prerequisite to restoration order.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Media and communications law — Telecommunications — Telecommunications common carriers — Provision of services — Terms of service — Obligations of carrier — Application by plaintiff to certify action as class action allowed — Plaintiff alleged that defendant telecommunications company engaged in deceptive acts and practices by charging customers, without notice, for time communications network needed to connect incoming calls to cellphones — Pleadings disclosed cause of action — It was not plain and obvious that plaintiff did not have "interest" in money in defendant's possession — It was not plain and obvious that she had to have relied on alleged deceptive acts or practices or that reliance was prerequisite to restoration order.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5"/>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certify the action as a class action. The plaintiff alleged that the defendant telecommunications company engaged in deceptive acts and practices by charging customers, without notice, for the time the communications network needed to connect incoming calls to cellphones and for ringing time. The proposed class was all individual customers in British Columbia who contracted for the defendant's cellphone services during a specified period. The plaintiff sought a restoration order under the Business Practices and Consumer Protection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30"/>
            <w:bookmarkEnd w:id="24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a cause of action. It was not plain and obvious that the plaintiff did not have an "interest" in money in the defendant's possession. It was not plain and obvious that she had to have relied on the alleged deceptive acts or practices or that reliance was a prerequisite to a restoration order. It was not plain and obvious that her claims with respect to unconscionability could not succeed, reading her allegations generously and recognizing that the technology and processes behind wireless communications was not apparent to the general public, that the billing was not clearly described, the defendant's comparative sophistication and significant relative market power and that the defendant created the contracts. The plaintiff adequately specified an identifiable class. Certified common issues were the defendant's billing practice and representations and remedies. A class action was the preferable procedure for the resolution of the common issues. The plaintiff was an appropriate class representative.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Legislation Cited_30"/>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922" w:history="1">
        <w:r>
          <w:rPr>
            <w:rFonts w:ascii="arial" w:eastAsia="arial" w:hAnsi="arial" w:cs="arial"/>
            <w:i/>
            <w:color w:val="0077CC"/>
            <w:sz w:val="20"/>
            <w:u w:val="single"/>
            <w:shd w:val="clear" w:color="auto" w:fill="FFFFFF"/>
            <w:lang w:val="en-US" w:eastAsia="en-US" w:bidi="ar-SA"/>
          </w:rPr>
          <w:t>S.B.C. 2004, c. 2, s. 1</w:t>
        </w:r>
      </w:hyperlink>
      <w:r>
        <w:rPr>
          <w:rFonts w:ascii="arial" w:eastAsia="arial" w:hAnsi="arial" w:cs="arial"/>
          <w:color w:val="000000"/>
          <w:sz w:val="20"/>
          <w:lang w:val="en-US" w:eastAsia="en-US" w:bidi="ar-SA"/>
        </w:rPr>
        <w:t>(1), s. 1(1), s. 1(1), s. 1(1), s. 1(1), s. 3, ss. 4-5, s. 4, s. 4(1), s. 4(1), s. 4(1), s. 4(1)(3)(vi), s. 4(2), s. 4(3)(b)(iv), s. 5, s. 8, s. 8(1), s. 8(2), s. 8(3), s. 8(3)(b), s. 9, s. 10, s. 19, s. 171, s. 172, s. 172(1)(a), s. 172(1)(b), s. 172(3),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923" w:history="1">
        <w:r>
          <w:rPr>
            <w:rFonts w:ascii="arial" w:eastAsia="arial" w:hAnsi="arial" w:cs="arial"/>
            <w:i/>
            <w:color w:val="0077CC"/>
            <w:sz w:val="20"/>
            <w:u w:val="single"/>
            <w:shd w:val="clear" w:color="auto" w:fill="FFFFFF"/>
            <w:lang w:val="en-US" w:eastAsia="en-US" w:bidi="ar-SA"/>
          </w:rPr>
          <w:t>R.S.B.C. 1996, c. 50, s. 1</w:t>
        </w:r>
      </w:hyperlink>
      <w:r>
        <w:rPr>
          <w:rFonts w:ascii="arial" w:eastAsia="arial" w:hAnsi="arial" w:cs="arial"/>
          <w:color w:val="000000"/>
          <w:sz w:val="20"/>
          <w:lang w:val="en-US" w:eastAsia="en-US" w:bidi="ar-SA"/>
        </w:rPr>
        <w:t>, s. 4(1), s. 4(1)(a), s. 4(1)(b), s. 4(1)(c), s. 4(1)(d), s. 4(2), s. 27, s. 29, s. 29(1), s. 29(1)(c), s. 31(1),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9" w:name="Counsel_36"/>
      <w:bookmarkEnd w:id="2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B.W. Lemer, A.M.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R.S. Anderson, Q.C., N.T. Hooge.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0" w:name="Judgment_36"/>
      <w:bookmarkEnd w:id="250"/>
      <w:r>
        <w:pict>
          <v:line id="_x0000_s1219"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4"/>
        <w:gridCol w:w="10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INTRODUCTION</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BACKGROUND</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RELEVANT STATUES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DISCUSSION</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Is a restoration order under s. 172(3)(a) unavailable in this case because the plaintiff has not pleaded that she has an "interest" in money, property, or other thing in TELUS' possession? 68 2. Is the plaintiff's claim bound to fail because she has not pleaded material facts relating to reliance and causation? 84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Is causation or reliance a necessary element of a deceptive representation under s. 4 of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Is reliance a prerequisite to a restoration order under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172(3)(a)?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523"/>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Has the plaintiff properly pleaded that TELUS committed an</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unconscionable act or practice?</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w:t>
            </w:r>
          </w:p>
        </w:tc>
        <w:tc>
          <w:tcPr>
            <w:tcW w:w="51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Is there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Is the class definition overbroad because it extends beyond "consumers"?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131 2. Is it possible to objectively determine if a customer is a "consumer" and a transaction was a "consumer transaction"?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Do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 (a): "deceptive" billing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155 (b) Proposed common issue (b): "deceptive" 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161 (c) Proposed common issue (c): "unconscionable" billing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166 (d) Proposed common issue (d): "unconscionable" 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173 (e) Proposed common issue (e): remedies under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Declaratory relief: s. 172(1)(a)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5750"/>
        <w:gridCol w:w="167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Restoration order: s. 172(3)(a)</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 (f): aggregate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796"/>
        <w:gridCol w:w="12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Proposed common issues (g)-(i): spoliation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Is a class proceeding preferable for the fair and efficient resolution of the common issues?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214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Is the representative plaintiff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1" w:name="D.M. MASUHARA J."/>
            <w:bookmarkEnd w:id="251"/>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for certification of this action as a class proceeding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TELUS Communications Inc. ("TELUS"), is a large telecommunications company whose services include providing wireless cellular services to consumers across Canada, including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characterizes the action as a "paradigm mass market consumer protection" case, akin to a supplier providing less of a product than what it states on the label of a product container.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allegations against TELUS arise out of its billing of consumers in relation to incoming calls on their cellular phone service; no claim is made based on outgoing calls. The plaintiff says that TELUS billed its customers more than it said it would. More specifically, the plaintiff says that rather than only charging customers for the time they physically spent talking on their phone, that is from the time the consumer answers a call, TELUS actually charged its customers, without notice, also for time needed by the communications network to connect a call and ringing time (the "System Setup Time"). The time involved can reach up to approximately 81 seconds. As a consequence it is asserted that the consumer used up more of the time contracted for than was represented by TELUS in its written communications. The plaintiff relies only on written communications and not upon any verbal representations of TELUS, its representatives or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asserts that during the class period, TELUS' billing practice was deceptive and unconscionable contrary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states the Class Period as starting on January 21, 1999 and ending on the date when TELUS' service terms were amended to accurately describe its billing practice. The uncontested evidence is that TELUS revised its standard mobility Service Terms in April 2010. As a result, January 21, 1999 to April 2010 represents the relevant class period in this action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Service Terms after the revision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Voice calls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Charges for voice calls are based on the airtime used when you make and receive calls on your mobile phone. Voice airtime is calculated, for both incoming and outgoing calls, from the time the call is initiated to the time it is disconnected, including the time used to route the call through the network and any ring time. The airtime for each voice call is rounded up to the nearest minute unless your rate plan or feature states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action was commenced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states that the class has suffered damages. Specifically,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deceptive acts and practices and/or unconscionable acts and practices of the defendant the Representative Plaintiff and Class Plaintiffs have suffered damage as a result of:</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charged for incoming calls above the rate properly chargeable pursuant to the Agreements and the Plans;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choosing more expensive plans that include "no extra charge" minutes than they would have needed had incoming calls been timed and charged on airtime alone;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exhausting the "no extra charge" minutes earlier than they should have and incurring per minute or per second charges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Plaintiff's counsel advises that the second cause of damages, subparagraph (b) above, has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 of Civil Claim states the relief sought as: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 engaged in deceptive acts and practices and/or unconscionable acts and practices pursuant to sections 5 and 9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restoring the monies acquired because of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pursuant to section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interim and permanent injunctions prohibiting the deceptive and unconscionable acts and practices pursuant to section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advises that the interim and permanent injunctions under subparagraph (c) are no longer being sought. Also, counsel advises that the plaintiff will not be relying on any oral representations made by individuals on behalf of TELUS or its representatives or retailers, or any implied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case has been affected by various appellate decisions such as </w:t>
      </w:r>
      <w:r>
        <w:rPr>
          <w:rFonts w:ascii="arial" w:eastAsia="arial" w:hAnsi="arial" w:cs="arial"/>
          <w:i/>
          <w:color w:val="000000"/>
          <w:sz w:val="20"/>
          <w:lang w:val="en-US" w:eastAsia="en-US" w:bidi="ar-SA"/>
        </w:rPr>
        <w:t>Dell Computer Corp. v. Union des consommateurs</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2007 SCC 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Rogers Wireless Inc. v. Muroff</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2007 SCC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More recently, my earlier determination denying TELUS' application for a stay of proceedings was upheld on a limited basis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Seidel SCC</w:t>
      </w:r>
      <w:r>
        <w:rPr>
          <w:rFonts w:ascii="arial" w:eastAsia="arial" w:hAnsi="arial" w:cs="arial"/>
          <w:color w:val="000000"/>
          <w:sz w:val="20"/>
          <w:lang w:val="en-US" w:eastAsia="en-US" w:bidi="ar-SA"/>
        </w:rPr>
        <w:t>]. The present application reflects the limited basis upon which this action was permitted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Seidel SCC</w:t>
      </w:r>
      <w:r>
        <w:rPr>
          <w:rFonts w:ascii="arial" w:eastAsia="arial" w:hAnsi="arial" w:cs="arial"/>
          <w:color w:val="000000"/>
          <w:sz w:val="20"/>
          <w:lang w:val="en-US" w:eastAsia="en-US" w:bidi="ar-SA"/>
        </w:rPr>
        <w:t xml:space="preserve"> determined that an arbitration clause in TELUS' consumer contract could not prevent a party from bringing an action that seeks remedies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majority further held that the contractual clause in the consumer contract mandating arbitration was not separate from the consumer's class action waiver contained in the same contract. Therefore, to the extent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vitiated TELUS' right to rely on mandatory arbitration it also rendered the class action waiver void. The majority allowed Ms. Seidel to proceed with an action against TELUS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to apply for certification of her s. 172 claims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para. 5, Binnie J. for the majority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Ms. Seidel's claim in the Supreme Court invokes s. 172 remedies in respect of "rights, benefits or protections" conferred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her court action must be allowed to proceed notwithstanding the mediation/arbitration clause. This includes her claims for declaratory and injunctive relief and, if granted, ancillary relief in the form of restoration to consumers of any money acquired by TELUS in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ruling deals with the certification of Ms. Seidel's action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2001 an action similar to the present case was decided by the B.C. Provincial Court in </w:t>
      </w:r>
      <w:r>
        <w:rPr>
          <w:rFonts w:ascii="arial" w:eastAsia="arial" w:hAnsi="arial" w:cs="arial"/>
          <w:i/>
          <w:color w:val="000000"/>
          <w:sz w:val="20"/>
          <w:lang w:val="en-US" w:eastAsia="en-US" w:bidi="ar-SA"/>
        </w:rPr>
        <w:t>Karpowicz v. Telus Mobility Cellular Inc.</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2001 BCPC 327</w:t>
        </w:r>
      </w:hyperlink>
      <w:r>
        <w:rPr>
          <w:rFonts w:ascii="arial" w:eastAsia="arial" w:hAnsi="arial" w:cs="arial"/>
          <w:color w:val="000000"/>
          <w:sz w:val="20"/>
          <w:lang w:val="en-US" w:eastAsia="en-US" w:bidi="ar-SA"/>
        </w:rPr>
        <w:t xml:space="preserve">. The plaintiff was successful at trial, but the B.C. Supreme Court allowed TELUS' appeal and ordered a new trial: </w:t>
      </w:r>
      <w:r>
        <w:rPr>
          <w:rFonts w:ascii="arial" w:eastAsia="arial" w:hAnsi="arial" w:cs="arial"/>
          <w:i/>
          <w:color w:val="000000"/>
          <w:sz w:val="20"/>
          <w:lang w:val="en-US" w:eastAsia="en-US" w:bidi="ar-SA"/>
        </w:rPr>
        <w:t>Karpowicz v. Telus Mobility Cellular</w:t>
      </w:r>
      <w:r>
        <w:rPr>
          <w:rFonts w:ascii="arial" w:eastAsia="arial" w:hAnsi="arial" w:cs="arial"/>
          <w:color w:val="000000"/>
          <w:sz w:val="20"/>
          <w:lang w:val="en-US" w:eastAsia="en-US" w:bidi="ar-SA"/>
        </w:rPr>
        <w:t xml:space="preserve"> (June 27, 2002), Vancouver Registry L013507. </w:t>
      </w:r>
      <w:r>
        <w:rPr>
          <w:rFonts w:ascii="arial" w:eastAsia="arial" w:hAnsi="arial" w:cs="arial"/>
          <w:i/>
          <w:color w:val="000000"/>
          <w:sz w:val="20"/>
          <w:lang w:val="en-US" w:eastAsia="en-US" w:bidi="ar-SA"/>
        </w:rPr>
        <w:t>Karpowicz</w:t>
      </w:r>
      <w:r>
        <w:rPr>
          <w:rFonts w:ascii="arial" w:eastAsia="arial" w:hAnsi="arial" w:cs="arial"/>
          <w:color w:val="000000"/>
          <w:sz w:val="20"/>
          <w:lang w:val="en-US" w:eastAsia="en-US" w:bidi="ar-SA"/>
        </w:rPr>
        <w:t xml:space="preserve"> was stayed by consent in 2005 pending the outcome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Since the start of this certification proceeding, two decisions were issued that have some relevance to this application: </w:t>
      </w:r>
      <w:r>
        <w:rPr>
          <w:rFonts w:ascii="arial" w:eastAsia="arial" w:hAnsi="arial" w:cs="arial"/>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xml:space="preserve">, leave to appeal to S.C.C. refused </w:t>
      </w:r>
      <w:hyperlink r:id="rId929" w:history="1">
        <w:r>
          <w:rPr>
            <w:rFonts w:ascii="arial" w:eastAsia="arial" w:hAnsi="arial" w:cs="arial"/>
            <w:i/>
            <w:color w:val="0077CC"/>
            <w:sz w:val="20"/>
            <w:u w:val="single"/>
            <w:shd w:val="clear" w:color="auto" w:fill="FFFFFF"/>
            <w:lang w:val="en-US" w:eastAsia="en-US" w:bidi="ar-SA"/>
          </w:rPr>
          <w:t>[2014] S.C.C.A. No. 125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Ileman v. Rogers Communication Inc.</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2015 BCCA 260</w:t>
        </w:r>
      </w:hyperlink>
      <w:r>
        <w:rPr>
          <w:rFonts w:ascii="arial" w:eastAsia="arial" w:hAnsi="arial" w:cs="arial"/>
          <w:color w:val="000000"/>
          <w:sz w:val="20"/>
          <w:lang w:val="en-US" w:eastAsia="en-US" w:bidi="ar-SA"/>
        </w:rPr>
        <w:t xml:space="preserve">, leave to appeal to S.C.C. </w:t>
      </w:r>
      <w:hyperlink r:id="rId931" w:history="1">
        <w:r>
          <w:rPr>
            <w:rFonts w:ascii="arial" w:eastAsia="arial" w:hAnsi="arial" w:cs="arial"/>
            <w:i/>
            <w:color w:val="0077CC"/>
            <w:sz w:val="20"/>
            <w:u w:val="single"/>
            <w:shd w:val="clear" w:color="auto" w:fill="FFFFFF"/>
            <w:lang w:val="en-US" w:eastAsia="en-US" w:bidi="ar-SA"/>
          </w:rPr>
          <w:t>[2015] S.C.C.A. No. 342</w:t>
        </w:r>
      </w:hyperlink>
      <w:r>
        <w:rPr>
          <w:rFonts w:ascii="arial" w:eastAsia="arial" w:hAnsi="arial" w:cs="arial"/>
          <w:color w:val="000000"/>
          <w:sz w:val="20"/>
          <w:lang w:val="en-US" w:eastAsia="en-US" w:bidi="ar-SA"/>
        </w:rPr>
        <w:t xml:space="preserve"> requested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has also pointed to a recent decision from Ontario, </w:t>
      </w:r>
      <w:r>
        <w:rPr>
          <w:rFonts w:ascii="arial" w:eastAsia="arial" w:hAnsi="arial" w:cs="arial"/>
          <w:i/>
          <w:color w:val="000000"/>
          <w:sz w:val="20"/>
          <w:lang w:val="en-US" w:eastAsia="en-US" w:bidi="ar-SA"/>
        </w:rPr>
        <w:t>Wellman and Corless v. TELUS and Bell</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2014 ONSC 3318</w:t>
        </w:r>
      </w:hyperlink>
      <w:r>
        <w:rPr>
          <w:rFonts w:ascii="arial" w:eastAsia="arial" w:hAnsi="arial" w:cs="arial"/>
          <w:color w:val="000000"/>
          <w:sz w:val="20"/>
          <w:lang w:val="en-US" w:eastAsia="en-US" w:bidi="ar-SA"/>
        </w:rPr>
        <w:t xml:space="preserve"> where a class action was certified against TELUS and Bell based on deceptive billing practices. The claim made in </w:t>
      </w:r>
      <w:r>
        <w:rPr>
          <w:rFonts w:ascii="arial" w:eastAsia="arial" w:hAnsi="arial" w:cs="arial"/>
          <w:i/>
          <w:color w:val="000000"/>
          <w:sz w:val="20"/>
          <w:lang w:val="en-US" w:eastAsia="en-US" w:bidi="ar-SA"/>
        </w:rPr>
        <w:t>Wellman</w:t>
      </w:r>
      <w:r>
        <w:rPr>
          <w:rFonts w:ascii="arial" w:eastAsia="arial" w:hAnsi="arial" w:cs="arial"/>
          <w:color w:val="000000"/>
          <w:sz w:val="20"/>
          <w:lang w:val="en-US" w:eastAsia="en-US" w:bidi="ar-SA"/>
        </w:rPr>
        <w:t xml:space="preserve"> was that TELUS and Bell failed to disclose in their written contracts that all incoming and outgoing phone calls would be rounded up to the nearest minute. I also note a recent decision of this court </w:t>
      </w:r>
      <w:r>
        <w:rPr>
          <w:rFonts w:ascii="arial" w:eastAsia="arial" w:hAnsi="arial" w:cs="arial"/>
          <w:i/>
          <w:color w:val="000000"/>
          <w:sz w:val="20"/>
          <w:lang w:val="en-US" w:eastAsia="en-US" w:bidi="ar-SA"/>
        </w:rPr>
        <w:t>Unlu v. Air Canada</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2015 BCSC 1453</w:t>
        </w:r>
      </w:hyperlink>
      <w:r>
        <w:rPr>
          <w:rFonts w:ascii="arial" w:eastAsia="arial" w:hAnsi="arial" w:cs="arial"/>
          <w:color w:val="000000"/>
          <w:sz w:val="20"/>
          <w:lang w:val="en-US" w:eastAsia="en-US" w:bidi="ar-SA"/>
        </w:rPr>
        <w:t xml:space="preserve">, a case factually similar to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which denied certification of a claim for damages based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on the insufficiency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application materials include reports of experts adduced by the parties, affidavits of several TELUS employees, the cross-examination transcripts of TELUS employees and transcripts of testimony in </w:t>
      </w:r>
      <w:r>
        <w:rPr>
          <w:rFonts w:ascii="arial" w:eastAsia="arial" w:hAnsi="arial" w:cs="arial"/>
          <w:i/>
          <w:color w:val="000000"/>
          <w:sz w:val="20"/>
          <w:lang w:val="en-US" w:eastAsia="en-US" w:bidi="ar-SA"/>
        </w:rPr>
        <w:t>Karpowicz</w:t>
      </w:r>
      <w:r>
        <w:rPr>
          <w:rFonts w:ascii="arial" w:eastAsia="arial" w:hAnsi="arial" w:cs="arial"/>
          <w:color w:val="000000"/>
          <w:sz w:val="20"/>
          <w:lang w:val="en-US" w:eastAsia="en-US" w:bidi="ar-SA"/>
        </w:rPr>
        <w:t>. The expert report put forth by the applicant was prepared by Dr. Ruben Zamar, a Professor in the Department of Statistics, Faculty of Science, University of British Columbia. The expert report put forward by the respondent was prepared by Dr. Christian Dippon, an economist and Senior Vice President at NERA Economic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TELUS' cellular network was formed in 1998 with the merger of TELUS Corporation and BC Telecom. In the period between 1998 and 2010, TELUS grew steadily both in terms of its acquisitions of other wireless service providers and its customer base; TELUS had 1.7 million subscribers in 1999, and by 2010 the number had grown to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Between 1999 and 2010, TELUS offered approximately 5,200 different base-rate plans, allowing their customers to customize their plan to suit particular needs and requirements. Currently, TELUS' national cellular network processes over 36 million calls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British Columbia, TELUS currently utilizes two different networks that operate on different infrastructures. Since 1999 they have used the code division multiple access protocol ("CDMA"), and in 2009 they launched the global system for mobile communications protocol ("GSM"). Mobile devices are designed to function solely on one network, and since 2009 TELUS customers have predominantly sought GSM compatible devices, as that network is noticeably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both the CDMA and GSM networks, calls are connected through a three-step process (the System Setup). First, a caller enters the recipient's number and presses send. This action creates a radio-wave transmission that sends a digital "call message" to the nearest cell tower. The call message is routed to a gateway switch which identifies the switch serving the recipient's phone (the "serving switch").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second step involves the serving switch notifying the recipient's phone of the call message in a process known as "paging". If the call message is received the recipient's phone returns a message to indicate that it is available for the call. The serving switch then reserves a voice channel for the call and sends an alert message to the recipient's phone which informs the phone to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paging process ordinarily takes between 1 and 5 seconds to complete on the CDMA network and is significantly faster on the GSM network, usually completing in less than 1.5 seconds. Where a page is unsuccessful a second page will be sent, this time to every cell site in the serving switch's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From 1998 until 2001 three pages would be sent before a call attempt was terminated. Since 2001 an attempt will be terminated after just two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third step in call connection is the "ringing time". Ringing time is dependent on the length of time it takes for a call to be answered. For a customer without voicemail, ringing time will be terminated if a call is not answered within 60 seconds; TELUS voicemail will activate if a call is not answered within 18 seconds. If a call is answered the call is connected until one of the caller or the recipient terminates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these steps illustrate, a recipient's phone is engaged before the phone is physically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Call Detail Record ("CDR") is generated for every cellular phone call that is processed on TELUS' networks. CDRs contain data that are used in billing such as the caller and recipient's phone number, the voice channel established, and when the call is terminated. The System Setup Time is not included in a CDR that is sent for billing, but that data is recorded and could be assessed by calculating the difference between the "origination time" of the call and the time the call was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Prior to 2007, CDRs were kept and stored in an online format for 90 days as well as archived on storage tapes for a period of 2 years. Since 2007, TELUS has moved all CDR storage into online databases and reduced the retention period to just 14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TELUS customers are billed depending on whether they are a "post-paid" customer or a "prepaid" customer. Post-paid customers are those who are on term contracts with TELUS and they are billed on a system called "KNOWbility". CDRs are generated for every call made by a post-paid customer; they are sent to KNOWbility, which determines how each CDR affects the customer's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KNOWbility billing system can be complex as there are numerous different rate plans, options, and calling features that affect how or if the post-paid customer is billed. According to TELUS, during the Class Period most post-paid customers have been billed on a per-minute basis, where the call time is rounded up to the nearest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Prepaid customers are billed on an entirely different system. Before 2004 TELUS used three software platforms for prepaid billing where the time of a call was calculated from the point when the network first received a call message until the termination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since late 2004 the System Setup Time is no longer factored into the length of a prepaid customer's call for billing purposes. The new system for prepaid billing, "SurePay Win", only charges after the prepaid customer answers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Ms. Seidel, is a practising lawyer. The plaintiff practiced law from 1999 until 2000 and again from 2003 onward. Between 2000 and 2003 Ms. Seidel worked in a non-legal capacity for technology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has entered into multiple contracts for cell phone service with the defendant. The plaintiff deposed that over the years she has used her cell phone not simply as a consumer for personal use, but also for business purposes. However, the plaintiff asserts that from January 2002 until May 2003 she operated her cell phone only for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proposed class as set out in her written submissions is stated as "all individual customers of the Defendant who were resident in British Columbia and who contracted for cellular telephone services through the Defendant from January 21, 1999 (excluding the Defendants' employees and agents) to the date on which the Defendant changed the language in its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mentioned, the plaintiff claims that the defendant committed deceptive and unconscionable acts contrary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through its misrepresentation to consumers of its billing practices regarding how call length time is calculated for incoming calls. The plaintiff relies only on written materials provided by TELUS during the Class Period and not on any oral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contractual documents signed by Ms. Seidel with TELUS, including the Standard Terms of Usage ("Standard Terms"), refer to the purchase of "airtime minutes". Nowhere in these documents is the term "airtime minutes" defined, nor is there any explanation in the Standard Terms of how incoming calls are billed.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with the contractual documents, TELUS' advertising similarly referred to "airtime bundles", "airtime rates", and "airtime plans". In 2003 the plaintiff was offered a "low per-minute airtime rate" in exchange for signing a two or three year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2004 TELUS' website defined airtime minutes as "[a]ctual time spent talking on the wireless telephone". Nowhere in this definition is there an explanation of System Setup Time. Further, the website suggested billing was done only based on the customer's use of airtime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some point after this action was commenced, TELUS removed from its website the aforementioned definition of airtime.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TELUS also sells cell phones that time calls and display the time to the user. Timing of calls on the cell phone's timer commences when the recipient of the call activates the cell phone. There is evidence that TELUS was aware that such information is inaccurate in respect to time changed to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advised in submissions that she disavowed the assertion that she and the proposed class plaintiffs relied upon the information on TELUS' website and information from sales people. The plaintiff stated that the evidence from websites, dictionaries and an insurance adjustor is only being used to prove that there was just one vernacular meaning of "airtime".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Telus Product Specialist in Pricing and Marketing Operations who spent 30% of his time dealing with customer technical complaints was examined in this action and indicated that to customers "airtime" means "talking time". In his examination he stated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lot of customers do not know what airtime means. They only understand talk time meaning when they start talking...</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heard or I have seen the word "airtime" used; is that another word for talk time?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examination of TELUS representatives indicates that there are varying degrees of customer understanding regarding what "airtime" means in relation to billing. There is also some evidence that TELUS' own employees were under the impression that billing of incoming calls begins only when the recipient answered. An internal memo was circulated in June 2000 advising that with respect to incoming calls "Airtime billing begins: As soon as the network starts processing the call, not when the phone first 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plaintiff's Notice of Civil Claim she pleads the following in respect of the defendant's alleged deceptive and/or unconscionable act and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restricting the generality of the allegations set out above, the defendant has engaged in the following acts which are deceptive acts and practices and/or unconscionable acts and practices: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entering into agreements with the Representative Plaintiff and Class Plaintiffs that include an express or implied term that, with respect to incoming calls, the charges would begin at the time the call is answered and end when the call is disconnected ("airtime") and then in breach of the Agreements billing them for incoming calls beginning when the caller connects to the defendant's cellular network;</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disseminating information through consumer advisors, salespeople and agents, advertising, web sites, brochures and statements of account to the effect that customers are charged only airtime on incoming calls when in fact system connection and ringing time are added to the charges;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they knew or should have known that the Representative Plaintiff and Class Plaintiffs did not know of or understand the manner in which usage time for incoming calls was calculated, failing to notify the Class Plaintiffs and Representative Plaintiff;</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presenting to the Class Plaintiffs and the Representative Plaintiff standard form service contracts that, with respect to billing practices, did not contain significant information on billing practices with respect to incoming calls;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misrepresenting to the Representative Plaintiff and Class Plaintiffs the full extent of usage charges;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misrepresenting to the Representative Plaintiff and Class Plaintiffs the full extent of usage charges when they knew or should have known that other cellular telephone service providers in North America fully explain in their service agreements how time is billed on incoming calls, one of which does so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measure your calls in full minutes. That means partial minutes are rounded up to the next full minute. For example, a 15 second call is billed as one full minute. A one minute, twenty second call is billed as two full minutes. Time starts when you first press "send" or the call connects to the system. Time stops when your call disconnects from the system, which may be a few seconds after you press "end" or the call is otherwise terminated. </w:t>
      </w:r>
      <w:r>
        <w:rPr>
          <w:rFonts w:ascii="arial" w:eastAsia="arial" w:hAnsi="arial" w:cs="arial"/>
          <w:i/>
          <w:color w:val="000000"/>
          <w:sz w:val="20"/>
          <w:lang w:val="en-US" w:eastAsia="en-US" w:bidi="ar-SA"/>
        </w:rPr>
        <w:t>On incoming calls, charges begin when the call connects to the system which may be before the phone rings or before you answer it...</w:t>
      </w:r>
      <w:r>
        <w:rPr>
          <w:rFonts w:ascii="arial" w:eastAsia="arial" w:hAnsi="arial" w:cs="arial"/>
          <w:color w:val="000000"/>
          <w:sz w:val="20"/>
          <w:lang w:val="en-US" w:eastAsia="en-US" w:bidi="ar-SA"/>
        </w:rPr>
        <w:t xml:space="preserve"> [Emphasis added by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selling cellular phones equipped with timers that record time during which a cell phone is in use (i.e. with respect to incoming calls, starting when the telephone is answered) without advising the Representative Plaintiff and Class Plaintiffs that the time for which they would be billed would exceed the amount of time shown on the timer because the timer does not include cellular network connection and ringing time;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being future performance contracts pursuant to the BPCPA, failing to provide in its contracts a detailed description and itemized price of cellular phone services contrary to section 19 of the BPCPA;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disseminating on its web site and elsewhere a glossary of terms defining "airtime" as follows: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Actual time spent talking on the wireless telephone</w:t>
      </w:r>
      <w:r>
        <w:rPr>
          <w:rFonts w:ascii="arial" w:eastAsia="arial" w:hAnsi="arial" w:cs="arial"/>
          <w:color w:val="000000"/>
          <w:sz w:val="20"/>
          <w:lang w:val="en-US" w:eastAsia="en-US" w:bidi="ar-SA"/>
        </w:rPr>
        <w:t xml:space="preserve"> [emphasis added by the plaintiff]. Most carriers will bill customers based on how many minutes of airtime they use each month. The more minutes of time spent talking on the phone, the higher the bill.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at the same time disseminating on its web site, advertising, statements of account and elsewhere that under the Plans incoming calls were billed based on "airtime" when they were not;</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on customer statements of account the actual seconds the phone was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Nowhere in these pleadings does the plaintiff allege that she or any of the class plaintiffs specifically relied on any of these materials or representations from TELUS in agreeing to their contracts with TELUS or in using their phones, nor does she plead any material facts that would support such an allegation. Also, nowhere in the plaintiff's pleadings does she claim to have a specific proprietary interest in money, property, or anything else in TELUS' possession. Finally, as noted above the plaintiff is no longer relying on oral representations or implied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RELEVANT STATUES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are the two key statutes relevant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access to justice, behaviour modification, and judicial economy. These goals are to be kept in mind in the certification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five requirements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determining whether a class proceeding would be the preferable procedure for the fair and efficient resolution of the common issues, the court is required under s. 4(2) to consider all relevant matters, including: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onus is on the party seeking certification to meet the requirements. The burden is not an onerous one. The cause of action requirement in s. 4(1)(a) is satisfied unless, assuming all the pleaded facts are true,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 With respect to the other four requirements in s. 4(1), the applicant need only provide a minimum evidentiary basis that shows some basis in fact for each of them; the application hearing is procedural and not the forum where the merits of the action are decided: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24-25. The "some basis in fact" standard does not require the court to resolve conflicting facts and evidence at the certification stage. The authorities on this point have reiterated that at the certification stage the court is ill-equipped to resolve such conflicts: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102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this respect, I note the observation of Rothstein J., for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courts have resisted the U.S. approach of engaging in a robust analysis of the merits at the certification stage. Consequently, the outcome of a certification application will not be predictive of the success of the action at the trial of the common issues. I think it important to emphasize that the Canadian approach at the certification stage does not allow for an extensive assessment of the complexities and challenges that a plaintiff may face in establishing its case at trial. After an action has been certified, additional information may come to light calling into question whether the requirements of s. 4(1) continue to be met. It is for this reason that enshrined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the power of the court to decertify the action if at any time it is found that the conditions for certification are no longer met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Expert evidence should not be subjected to the exacting scrutiny required at trial: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leave to appeal to S.C.C. refused, </w:t>
      </w:r>
      <w:hyperlink r:id="rId937" w:history="1">
        <w:r>
          <w:rPr>
            <w:rFonts w:ascii="arial" w:eastAsia="arial" w:hAnsi="arial" w:cs="arial"/>
            <w:i/>
            <w:color w:val="0077CC"/>
            <w:sz w:val="20"/>
            <w:u w:val="single"/>
            <w:shd w:val="clear" w:color="auto" w:fill="FFFFFF"/>
            <w:lang w:val="en-US" w:eastAsia="en-US" w:bidi="ar-SA"/>
          </w:rPr>
          <w:t>[2010] S.C.C.A. No. 32</w:t>
        </w:r>
      </w:hyperlink>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2010 CanLII 32435</w:t>
        </w:r>
      </w:hyperlink>
      <w:r>
        <w:rPr>
          <w:rFonts w:ascii="arial" w:eastAsia="arial" w:hAnsi="arial" w:cs="arial"/>
          <w:color w:val="000000"/>
          <w:sz w:val="20"/>
          <w:lang w:val="en-US" w:eastAsia="en-US" w:bidi="ar-SA"/>
        </w:rPr>
        <w:t xml:space="preserve">, reconsideration of leave to appeal to S.C.C. refused, </w:t>
      </w:r>
      <w:hyperlink r:id="rId937" w:history="1">
        <w:r>
          <w:rPr>
            <w:rFonts w:ascii="arial" w:eastAsia="arial" w:hAnsi="arial" w:cs="arial"/>
            <w:i/>
            <w:color w:val="0077CC"/>
            <w:sz w:val="20"/>
            <w:u w:val="single"/>
            <w:shd w:val="clear" w:color="auto" w:fill="FFFFFF"/>
            <w:lang w:val="en-US" w:eastAsia="en-US" w:bidi="ar-SA"/>
          </w:rPr>
          <w:t>[2010] S.C.C.A. No. 32</w:t>
        </w:r>
      </w:hyperlink>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2012 CanLII 26716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K. Smith J.A., for the Court, adopted the following passage from </w:t>
      </w:r>
      <w:r>
        <w:rPr>
          <w:rFonts w:ascii="arial" w:eastAsia="arial" w:hAnsi="arial" w:cs="arial"/>
          <w:i/>
          <w:color w:val="000000"/>
          <w:sz w:val="20"/>
          <w:lang w:val="en-US" w:eastAsia="en-US" w:bidi="ar-SA"/>
        </w:rPr>
        <w:t>Griffin v. Dell Canada Inc.</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(2009), 72 C.P.C. (6th) 158</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[2009] O.J. No. 418</w:t>
        </w:r>
      </w:hyperlink>
      <w:r>
        <w:rPr>
          <w:rFonts w:ascii="arial" w:eastAsia="arial" w:hAnsi="arial" w:cs="arial"/>
          <w:color w:val="000000"/>
          <w:sz w:val="20"/>
          <w:lang w:val="en-US" w:eastAsia="en-US" w:bidi="ar-SA"/>
        </w:rPr>
        <w:t xml:space="preserve"> at para. 76 (Sup. Ct.), motion for reconsideration dismissed </w:t>
      </w:r>
      <w:hyperlink r:id="rId940" w:history="1">
        <w:r>
          <w:rPr>
            <w:rFonts w:ascii="arial" w:eastAsia="arial" w:hAnsi="arial" w:cs="arial"/>
            <w:i/>
            <w:color w:val="0077CC"/>
            <w:sz w:val="20"/>
            <w:u w:val="single"/>
            <w:shd w:val="clear" w:color="auto" w:fill="FFFFFF"/>
            <w:lang w:val="en-US" w:eastAsia="en-US" w:bidi="ar-SA"/>
          </w:rPr>
          <w:t>76 C.P.C. (6th) 173</w:t>
        </w:r>
      </w:hyperlink>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[2009] O.J. No. 1592</w:t>
        </w:r>
      </w:hyperlink>
      <w:r>
        <w:rPr>
          <w:rFonts w:ascii="arial" w:eastAsia="arial" w:hAnsi="arial" w:cs="arial"/>
          <w:color w:val="000000"/>
          <w:sz w:val="20"/>
          <w:lang w:val="en-US" w:eastAsia="en-US" w:bidi="ar-SA"/>
        </w:rPr>
        <w:t xml:space="preserve">, leave to appeal to Div. Ct. refused </w:t>
      </w:r>
      <w:hyperlink r:id="rId941" w:history="1">
        <w:r>
          <w:rPr>
            <w:rFonts w:ascii="arial" w:eastAsia="arial" w:hAnsi="arial" w:cs="arial"/>
            <w:i/>
            <w:color w:val="0077CC"/>
            <w:sz w:val="20"/>
            <w:u w:val="single"/>
            <w:shd w:val="clear" w:color="auto" w:fill="FFFFFF"/>
            <w:lang w:val="en-US" w:eastAsia="en-US" w:bidi="ar-SA"/>
          </w:rPr>
          <w:t>[2009] O.J. No. 3438</w:t>
        </w:r>
      </w:hyperlink>
      <w:r>
        <w:rPr>
          <w:rFonts w:ascii="arial" w:eastAsia="arial" w:hAnsi="arial" w:cs="arial"/>
          <w:color w:val="000000"/>
          <w:sz w:val="20"/>
          <w:lang w:val="en-US" w:eastAsia="en-US" w:bidi="ar-SA"/>
        </w:rPr>
        <w:t xml:space="preserve">, aff'd </w:t>
      </w:r>
      <w:hyperlink r:id="rId942" w:history="1">
        <w:r>
          <w:rPr>
            <w:rFonts w:ascii="arial" w:eastAsia="arial" w:hAnsi="arial" w:cs="arial"/>
            <w:i/>
            <w:color w:val="0077CC"/>
            <w:sz w:val="20"/>
            <w:u w:val="single"/>
            <w:shd w:val="clear" w:color="auto" w:fill="FFFFFF"/>
            <w:lang w:val="en-US" w:eastAsia="en-US" w:bidi="ar-SA"/>
          </w:rPr>
          <w:t>2010 ONCA 29</w:t>
        </w:r>
      </w:hyperlink>
      <w:r>
        <w:rPr>
          <w:rFonts w:ascii="arial" w:eastAsia="arial" w:hAnsi="arial" w:cs="arial"/>
          <w:color w:val="000000"/>
          <w:sz w:val="20"/>
          <w:lang w:val="en-US" w:eastAsia="en-US" w:bidi="ar-SA"/>
        </w:rPr>
        <w:t xml:space="preserve">, leave to appeal to S.C.C. refused </w:t>
      </w:r>
      <w:hyperlink r:id="rId943" w:history="1">
        <w:r>
          <w:rPr>
            <w:rFonts w:ascii="arial" w:eastAsia="arial" w:hAnsi="arial" w:cs="arial"/>
            <w:i/>
            <w:color w:val="0077CC"/>
            <w:sz w:val="20"/>
            <w:u w:val="single"/>
            <w:shd w:val="clear" w:color="auto" w:fill="FFFFFF"/>
            <w:lang w:val="en-US" w:eastAsia="en-US" w:bidi="ar-SA"/>
          </w:rPr>
          <w:t>2010 CanLII 27725</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[2010] S.C.C.A. No. 75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The court's "gatekeeper" role in respect to expert evidence was clearly articulated by the Supreme Court of Canada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and urged upon trial judges in subsequent decisions. This role applies equally to judges hearing motions for certification: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260 D.L.R. (4th) 488</w:t>
        </w:r>
      </w:hyperlink>
      <w:r>
        <w:rPr>
          <w:rFonts w:ascii="arial" w:eastAsia="arial" w:hAnsi="arial" w:cs="arial"/>
          <w:color w:val="000000"/>
          <w:sz w:val="20"/>
          <w:lang w:val="en-US" w:eastAsia="en-US" w:bidi="ar-SA"/>
        </w:rPr>
        <w:t xml:space="preserve">. However, where expert evidence is produced on a motion for certification, the nature and amount of investigation and testing required to provide a basis for a preliminary opinion will not be as extensive as would be required for an opinion to be given at trial. It follows that some lesser level of scrutiny is applied to the opinions offered, if they are otherwise admissible: </w:t>
      </w:r>
      <w:r>
        <w:rPr>
          <w:rFonts w:ascii="arial" w:eastAsia="arial" w:hAnsi="arial" w:cs="arial"/>
          <w:i/>
          <w:color w:val="000000"/>
          <w:sz w:val="20"/>
          <w:lang w:val="en-US" w:eastAsia="en-US" w:bidi="ar-SA"/>
        </w:rPr>
        <w:t>Stewart v. General Motors of Canada Ltd.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[2007] O.J. No. 2319</w:t>
        </w:r>
      </w:hyperlink>
      <w:r>
        <w:rPr>
          <w:rFonts w:ascii="arial" w:eastAsia="arial" w:hAnsi="arial" w:cs="arial"/>
          <w:color w:val="000000"/>
          <w:sz w:val="20"/>
          <w:lang w:val="en-US" w:eastAsia="en-US" w:bidi="ar-SA"/>
        </w:rPr>
        <w:t xml:space="preserve"> at para. 19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While not deciding the merits of the action, the court must equally avoid only symbolic scrutiny of the adequacy of the evidence. The court acting as a gatekeeper is to use the certification process as a meaningful screening device: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At the heart of this action is the plaintiff's assertion that TELUS engaged in deceptive and/or unconscionable acts or practices and therefore breached the provisions of s. 5 and 9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Those and relevant related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"consumer"</w:t>
      </w:r>
      <w:r>
        <w:rPr>
          <w:rFonts w:ascii="arial" w:eastAsia="arial" w:hAnsi="arial" w:cs="arial"/>
          <w:color w:val="000000"/>
          <w:sz w:val="20"/>
          <w:lang w:val="en-US" w:eastAsia="en-US" w:bidi="ar-SA"/>
        </w:rPr>
        <w:t xml:space="preserve"> means an individual, whether in British Columbia or not, who participates in a consumer transaction, but does not include a guarantor;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"consumer transaction"</w:t>
      </w:r>
      <w:r>
        <w:rPr>
          <w:rFonts w:ascii="arial" w:eastAsia="arial" w:hAnsi="arial" w:cs="arial"/>
          <w:color w:val="000000"/>
          <w:sz w:val="20"/>
          <w:lang w:val="en-US" w:eastAsia="en-US" w:bidi="ar-SA"/>
        </w:rPr>
        <w:t xml:space="preserve"> means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except in Parts 4 and 5, includes a solicitation of a consumer by a supplier for a contribution of money or other property by the consumer;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"services"</w:t>
      </w:r>
      <w:r>
        <w:rPr>
          <w:rFonts w:ascii="arial" w:eastAsia="arial" w:hAnsi="arial" w:cs="arial"/>
          <w:color w:val="000000"/>
          <w:sz w:val="20"/>
          <w:lang w:val="en-US" w:eastAsia="en-US" w:bidi="ar-SA"/>
        </w:rPr>
        <w:t xml:space="preserve"> means services, whether or not the services are together with or separate from goods, and includes a membership in a club or organization;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"supplier"</w:t>
      </w:r>
      <w:r>
        <w:rPr>
          <w:rFonts w:ascii="arial" w:eastAsia="arial" w:hAnsi="arial" w:cs="arial"/>
          <w:color w:val="000000"/>
          <w:sz w:val="20"/>
          <w:lang w:val="en-US" w:eastAsia="en-US" w:bidi="ar-SA"/>
        </w:rPr>
        <w:t xml:space="preserve"> means a person, whether in British Columbia or not, who in the course of business participates in a consumer transaction by</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privity of contract exists between that person and the consumer, and includes the successor to, and assignee of, any rights or obligations of that person and, except in Parts 3 to 5 </w:t>
      </w:r>
      <w:r>
        <w:rPr>
          <w:rFonts w:ascii="arial" w:eastAsia="arial" w:hAnsi="arial" w:cs="arial"/>
          <w:i/>
          <w:color w:val="000000"/>
          <w:sz w:val="20"/>
          <w:lang w:val="en-US" w:eastAsia="en-US" w:bidi="ar-SA"/>
        </w:rPr>
        <w:t>[Rights of Assignees and Guarantors Respecting Consumer Credit; Consumer Contracts; Disclosure of the Cost of Consumer Credit]</w:t>
      </w:r>
      <w:r>
        <w:rPr>
          <w:rFonts w:ascii="arial" w:eastAsia="arial" w:hAnsi="arial" w:cs="arial"/>
          <w:color w:val="000000"/>
          <w:sz w:val="20"/>
          <w:lang w:val="en-US" w:eastAsia="en-US" w:bidi="ar-SA"/>
        </w:rPr>
        <w:t>, includes a person who solicits a consumer for a contribution of money or other property by the consumer;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"supply"</w:t>
      </w:r>
      <w:r>
        <w:rPr>
          <w:rFonts w:ascii="arial" w:eastAsia="arial" w:hAnsi="arial" w:cs="arial"/>
          <w:color w:val="000000"/>
          <w:sz w:val="20"/>
          <w:lang w:val="en-US" w:eastAsia="en-US" w:bidi="ar-SA"/>
        </w:rPr>
        <w:t xml:space="preserve"> includes, in respect of the supply of goods or services or real property to a consumer, a sale, lease, assignment, award by chance or other disposition;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Waiver or release void except as permitted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Any waiver or release by a person of the person's rights, benefits or protections under this Act is void except to the extent that the waiver or release is expressly permitted by this 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Deceptive acts or practices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Division: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"deceptive act or practice" means, in relation to a consumer transaction,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"representation" includes any term or form of a contract, notice or other document used or relied on by a supplier in connection with a consumer transaction.</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deceptive act or practice by a supplier may occur before, during or after the consumer transaction.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one or more of the following constitutes a deceptive act or practice: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by a supplier</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consumer transaction involves or does not involve rights, remedies or obligations that differs from the fact,</w:t>
      </w:r>
    </w:p>
    <w:p>
      <w:pPr>
        <w:numPr>
          <w:numId w:val="5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uses exaggeration, innuendo or ambiguity about a material fact or that fails to state a material fact, if the effect is misleading,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Prohibition and burden of proof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(1) A supplier must not commit or engage in a deceptive act or practice in respect of a consumer transaction.</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 deceptive act or practice, the burden of proof that the deceptive act or practice was not committed or engaged in is on the supplier.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Unconscionable acts or practices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(1) An unconscionable act or practice by a supplier may occur before, during or after the consumer transaction.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act or practice is unconscionable, a court must consider all of the surrounding circumstances of which the supplier knew or ought to have known.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(2), the circumstances that the court must consider include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took advantage of the consumer or guarantor's inability or incapacity to reasonably protect his or her own interest because of the consumer or guarantor's physical or mental infirmity, ignorance, illiteracy, age or inability to understand the character, nature or language of the consumer transaction, or any other matter related to the transaction;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Prohibition and burden of proof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(1) A supplier must not commit or engage in an unconscionable act or practice in respect of a consumer transaction.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an unconscionable act or practice, the burden of proof that the unconscionable act or practice was not committed or engaged in is on the supplier.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an unconscionable act or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(1) Subject to subsection (2), if an unconscionable act or practice occurred in respect of a consumer transaction, that consumer transaction is not binding on the consumer or guarantor.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determines that an unconscionable act or practice occurred in respect of a consumer transaction that is a mortgage loan, as defined in section 57 [definitions], the court may do one or more of the following:</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reopen the transaction and take an account between the supplier and the consumer or guarantor;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 statement or settlement of account or any agreement purporting to close previous dealings and create a new obligation, reopen any account already taken and relieve the consumer from any obligation to pay the total cost of credit at a rate in excess of the prevailing prime rate;</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supplier to repay any excess that has been paid or allowed by the consumer or guarantor;</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all or part of, or alter, any agreement made or security given in respect of the transaction and, if the supplier has parted with the security, order the supplier, to indemnify the consumer;</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 the rights and obligations of the parties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seeks relief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actions respecting consumer transactions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172(1) The director or a person other than a supplier, whether or not the person bringing the action has a special interest or any interest under this Act or is affected by a consumer transaction that gives rise to the action, may bring an action in Supreme Court for one or both of the following:</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 act or practice engaged in or about to be engaged in by a supplier in respect of a consumer transaction contravenes this Act or the regulations;</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 permanent injunction restraining a supplier from contravening this Act or the regulations.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director brings an action under subsection (1), the director may sue on the director's own behalf and, at the director's option, on behalf of consumers generally or a designated class of consumers.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grants relief under subsection (1), the court may order one or more of the following:</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restore to any person any money or other property or thing, in which the person has an interest, that may have been acquired because of a contravention of this Act or the regulations;</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brought by the director, that the supplier pay to the director the actual costs, or a reasonable proportion of the costs, of the inspection of the supplier conducted under this Act;</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advertise to the public in a manner that will assure prompt and reasonable communication to consumers, and on terms or conditions that the court considers reasonable, particulars of any judgment, declaration, order or injunction granted against the supplier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seeks declaratory relief under s. 172(1)(a) and a restoration order under s. 172(3)(a). The plaintiff is not seeking injunctive relief under s. 172(1)(b) as the subject billing practices have been "changed" in the words of defence counsel or "corrected" in the words of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approaching this application, it is important to keep in mind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"all about consumer protection" and that as such, "its terms should be interpreted generously in favour of consumers": </w:t>
      </w:r>
      <w:r>
        <w:rPr>
          <w:rFonts w:ascii="arial" w:eastAsia="arial" w:hAnsi="arial" w:cs="arial"/>
          <w:i/>
          <w:color w:val="000000"/>
          <w:sz w:val="20"/>
          <w:lang w:val="en-US" w:eastAsia="en-US" w:bidi="ar-SA"/>
        </w:rPr>
        <w:t>Seidel SCC</w:t>
      </w:r>
      <w:r>
        <w:rPr>
          <w:rFonts w:ascii="arial" w:eastAsia="arial" w:hAnsi="arial" w:cs="arial"/>
          <w:color w:val="000000"/>
          <w:sz w:val="20"/>
          <w:lang w:val="en-US" w:eastAsia="en-US" w:bidi="ar-SA"/>
        </w:rPr>
        <w:t xml:space="preserve"> at para. 37. In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leave to appeal to S.C.C. refused, </w:t>
      </w:r>
      <w:hyperlink r:id="rId949" w:history="1">
        <w:r>
          <w:rPr>
            <w:rFonts w:ascii="arial" w:eastAsia="arial" w:hAnsi="arial" w:cs="arial"/>
            <w:i/>
            <w:color w:val="0077CC"/>
            <w:sz w:val="20"/>
            <w:u w:val="single"/>
            <w:shd w:val="clear" w:color="auto" w:fill="FFFFFF"/>
            <w:lang w:val="en-US" w:eastAsia="en-US" w:bidi="ar-SA"/>
          </w:rPr>
          <w:t>[2012] S.C.C.A. No. 398</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2013 CanLII 1178</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characterized as a complete code in the regulation of consumer transactions directed to both protection of consumers and fairness and consistency for all parties in the consumer marketplace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now turn to the five statutory requirements for certification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test for whether a plaintiff's claim discloses a cause of action is whether it is "plain and obvious" that no reasonable claim exists, assuming that the facts pleaded by the plaintiff are true and verifiable: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980. The plaintiff's pleadings must be read as generously as possible: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w:t>
      </w:r>
      <w:r>
        <w:rPr>
          <w:rFonts w:ascii="arial" w:eastAsia="arial" w:hAnsi="arial" w:cs="arial"/>
          <w:i/>
          <w:color w:val="000000"/>
          <w:sz w:val="20"/>
          <w:lang w:val="en-US" w:eastAsia="en-US" w:bidi="ar-SA"/>
        </w:rPr>
        <w:t>Elms v. Oliver Drabik Carruthers &amp; Chalcraft</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says that her detailed pleadings meet the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submits that it is plain and obvious that the plaintiff has not disclosed a cause of action because:</w:t>
      </w:r>
      <w:r>
        <w:rPr>
          <w:rFonts w:ascii="arial" w:eastAsia="arial" w:hAnsi="arial" w:cs="arial"/>
          <w:sz w:val="20"/>
          <w:lang w:val="en-US" w:eastAsia="en-US" w:bidi="ar-SA"/>
        </w:rPr>
        <w:cr/>
      </w:r>
    </w:p>
    <w:p>
      <w:pPr>
        <w:numPr>
          <w:numId w:val="6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restoration order under s. 172(3)(a) is not available in the circumstances of this case;</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 has not properly pleaded that TELUS committed: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deceptive act or practice contrary to ss. 4-5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or</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unconscionable act or practice contrary to s.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Is a restoration order under s. 172(3)(a) unavailable in this case because the plaintiff has not pleaded that she has an "interest" in money, property, or other thing in TELUS'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alleges that she and the proposed class plaintiffs overpaid TELUS because TELUS, in breach of its contracts, charged them for System Setup Time. The plaintiff alleges that TELUS' billing practice and its representations about billing were deceptive and unconscionable acts and practices. She seeks an order under s. 172(3)(a) restoring the excess payments to her and the class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When this application was first heard, the defendant argued that the plaintiff must plead a proprietary interest in the funds sought to be restored pursuant to s. 172(3)(a) and that the cause of action is not available in respect to a purely monetary claim. The defendant relied on </w:t>
      </w:r>
      <w:r>
        <w:rPr>
          <w:rFonts w:ascii="arial" w:eastAsia="arial" w:hAnsi="arial" w:cs="arial"/>
          <w:i/>
          <w:color w:val="000000"/>
          <w:sz w:val="20"/>
          <w:lang w:val="en-US" w:eastAsia="en-US" w:bidi="ar-SA"/>
        </w:rPr>
        <w:t>Ileman v. Rogers Communications Inc.</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2014 BCSC 1002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where Justice G.C. Weatherill applied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and held that the pleadings of the plaintiff did not disclose a cause of action. As a result, TELUS submitted that it was plain and obvious the plaintiff's cause of action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TELUS said that in order to seek relief under s. 172(3)(a) the plaintiff must demonstrate that she has an "interest" in "any money or other property or thing" that was gained by the defendant through its deceptive act or practice. The defendant pointed to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where a restorative order under s. 172(3)(a) was unavailable to the plaintiff because no interest in the property in question was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as in the present matter, the plaintiff sought restoration of fees paid pursuant to a wireless telephone contract. The Court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in applying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determined that there must be a demonstrable "proprietary nexus" between the money, property or thing acquired because of a breach of the legislation and the money, property or thing held by the supplier; the claimant must be able to trace monies to a specific proprietary fund held by the supplier. The Court found that the plaintiff had not pleaded sufficient facts to support a proprietary interest in the fees paid to the wireless carriers.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However, subsequent to the hearing of this application,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was issued. In that decision, the Court at para. 53 set out four prerequisites for granting a restoration order under s. 172(3)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make a declaratory or injunctive order under s. 172(1) before it can make an order under s. 172(3) -- this requirement is set out in the opening words of s. 172(3);</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supplier must have acquired something ("money or other property or thing") because of a contravention of the legislation -- this requirement is explicit in s. 172(3)(a);</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of an order under s. 172(3) must have been the source of money or some other thing acquired by the supplier -- this requirement is a necessary implication of the use of the word "restore"; and</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must have "an interest" in the thing to be restored -- this requirement is explicit in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a key issue was determining what constituted an "interest". The Court held that the interpretation of s. 172(3)(a)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was too restrictive in limiting recovery and restoration and not in line with the intention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Court held that an "interest" under s. 172(3)(a) does not have to be a proprietary interest, as long as the interest asserted is an existing interest "recognized by law" (para. 60). Justice Bennett, for the Court, stated at paras. 59-60: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my view, the proper interpretation of s. 172(3) (a) begins with the understanding that a restoration order is merely ancillary to a declaration or injunction. The purpose of s. 172(3)(a) is not to create a new legal right, but rather to allow existing private rights to be recognized within the context of public interest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While "an interest" need not be a proprietary interest in specific property, then it must be an interest recognized by law outside of s. 172(3)(a). A right to recover damages under s. 171, for instance, would be a sufficient interest to allow recovery under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Ultimately, the Court affirmed the conclusion that the plaintiffs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had no interest in any funds held by the defendants because a constructive trust could not be established, nor could the plaintiffs show any personally suffered "loss or damage cognizable by law" (para. 61). The Court held that the same inability to establish loss or damage was fatal to the plaintiffs' case as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It is certainly a live issue in the present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Subsequent to the release of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the parties in this proceeding provided further submissions. TELUS submitted that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was factually indistinguishable from the present case. TELUS also referenced </w:t>
      </w:r>
      <w:r>
        <w:rPr>
          <w:rFonts w:ascii="arial" w:eastAsia="arial" w:hAnsi="arial" w:cs="arial"/>
          <w:i/>
          <w:color w:val="000000"/>
          <w:sz w:val="20"/>
          <w:lang w:val="en-US" w:eastAsia="en-US" w:bidi="ar-SA"/>
        </w:rPr>
        <w:t>Unlu</w:t>
      </w:r>
      <w:r>
        <w:rPr>
          <w:rFonts w:ascii="arial" w:eastAsia="arial" w:hAnsi="arial" w:cs="arial"/>
          <w:color w:val="000000"/>
          <w:sz w:val="20"/>
          <w:lang w:val="en-US" w:eastAsia="en-US" w:bidi="ar-SA"/>
        </w:rPr>
        <w:t>, a more recent decision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There are factual similarities between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and the instant case; the money sought to be restored in both cases was paid by class members directly to wireless service providers, including TELUS. According to the defendant, the principal distinguishing feature between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and the plaintiff's claim in the present matter is that Ms. Seidel is merely asserting an interest in a "different portion of the fees paid to TELUS for cellular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there is a substantive distinction.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the issue was how the cellular company described a charge on its customer bill. The charge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was a visible fixed monthly fee, not a variable charge which changed monthly based on usage. This differs from the present case where the complaint is that TELUS charged for time which is said to have been undisclosed to the consumer and contrary to the manner it had advertised it would charge customers and with the contract of service it had with its customers. This is about a wrongful overcharge.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there was no issue as to the legality of the system access fee charged because the contract signed by subscribers plainly gave the defendants the right to do so. Unlike the present case, the claim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was about how the fee was </w:t>
      </w:r>
      <w:r>
        <w:rPr>
          <w:rFonts w:ascii="arial" w:eastAsia="arial" w:hAnsi="arial" w:cs="arial"/>
          <w:color w:val="000000"/>
          <w:sz w:val="20"/>
          <w:u w:val="single"/>
          <w:lang w:val="en-US" w:eastAsia="en-US" w:bidi="ar-SA"/>
        </w:rPr>
        <w:t>described</w:t>
      </w:r>
      <w:r>
        <w:rPr>
          <w:rFonts w:ascii="arial" w:eastAsia="arial" w:hAnsi="arial" w:cs="arial"/>
          <w:color w:val="000000"/>
          <w:sz w:val="20"/>
          <w:lang w:val="en-US" w:eastAsia="en-US" w:bidi="ar-SA"/>
        </w:rPr>
        <w:t xml:space="preserve"> in the invoices to subscribers. The allegation in the present case is one of a secret variable charge for time. Unlike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one cannot simply look at the subject wording or representations of TELUS in the present case and conclude that they are incapable of having the meaning asserted by the plaintiff or of otherwise being deceptive.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Unlu</w:t>
      </w:r>
      <w:r>
        <w:rPr>
          <w:rFonts w:ascii="arial" w:eastAsia="arial" w:hAnsi="arial" w:cs="arial"/>
          <w:color w:val="000000"/>
          <w:sz w:val="20"/>
          <w:lang w:val="en-US" w:eastAsia="en-US" w:bidi="ar-SA"/>
        </w:rPr>
        <w:t xml:space="preserve"> can also be distinguished on this basis because it too concerned the description of a fixed fee that the defendants were legally entitled to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Given the conclusion in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I am satisfied that the plaintiff has pleaded that she has an "interest" in money in TELUS' possession within the meaning of s. 172(3)(a). Taking the alleged facts as true, the plaintiff would have the right to damages for breach of contract; namely, breach of the express term in the contracts that TELUS would bill only for airtime.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TELUS further argues that the plaintiffs cannot demonstrate that they have personally suffered any loss or damage cognizable in law. Relying on various dictionary definitions, TELUS argues that for a claim to be cognizable, it must be properly pleaded and within the jurisdiction of the court or tribunal in which the claim is pursued. The defendant submits that by virtue of the arbitration agreement in the TELUS contract the plaintiff's claims for damages under s. 171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for breach of contract are stayed and therefore they are not within the jurisdiction of the British Columbia courts to adjudicate. It is argued that the ability to pursue a claim in arbitration does not make the claim "cognizable"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do not accept TELUS' argument that the mandatory arbitration clause in the contracts precludes the plaintiff from relying on breach of contract to found a s. 172(3)(a) restoration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"interest" in damages for breach of contract exists whether there is an arbitration clause or not. The arbitration clause merely dictates the forum in which her claim must be decided. The arbitration clause is invalid to the extent that the plaintiff's claim falls within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"[t]his includes her claims for declaratory and injunctive relief and, if granted, ancillary relief in the form of restoration to consumers of any money acquired by TELUS in contravention of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Seidel SCC</w:t>
      </w:r>
      <w:r>
        <w:rPr>
          <w:rFonts w:ascii="arial" w:eastAsia="arial" w:hAnsi="arial" w:cs="arial"/>
          <w:color w:val="000000"/>
          <w:sz w:val="20"/>
          <w:lang w:val="en-US" w:eastAsia="en-US" w:bidi="ar-SA"/>
        </w:rPr>
        <w:t xml:space="preserve"> at para. 5. Since s. 172(3)(a) requires the plaintiff to establish an "interest" outside of s. 172 in order for a restoration order to be granted, the arbitration clause cannot preclude the plaintiff from doing so. To the extent that it purports to do so, the arbitration clause is invalid pursuant to s. 3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 generous reading of s. 172(3)(a) permits this claim to be pursued. I also find support in the comment by Bennett J.A. in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at para. 59, where she stated that the purpose of s. 172(3)(a) is to "allow existing private rights to be recognized within the context of public interest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To conclude, I find that it is not plain and obvious that the plaintiff does not have an "interest" in money in TELUS' possession.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Is the plaintiff's claim bound to fail because she has not pleaded material facts relating to reliance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 submits that the plaintiff's pleadings are deficient in the provision of material facts relating to reliance and causation. The defendant says that reliance by the consumer on a supplier's act or practice is a necessary element under ss. 4 and 172(3)(a)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xml:space="preserve">, leave to appeal to S.C.C. refused, </w:t>
      </w:r>
      <w:hyperlink r:id="rId954" w:history="1">
        <w:r>
          <w:rPr>
            <w:rFonts w:ascii="arial" w:eastAsia="arial" w:hAnsi="arial" w:cs="arial"/>
            <w:i/>
            <w:color w:val="0077CC"/>
            <w:sz w:val="20"/>
            <w:u w:val="single"/>
            <w:shd w:val="clear" w:color="auto" w:fill="FFFFFF"/>
            <w:lang w:val="en-US" w:eastAsia="en-US" w:bidi="ar-SA"/>
          </w:rPr>
          <w:t>[2012] S.C.C.A. No. 225</w:t>
        </w:r>
      </w:hyperlink>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2012 CanLII 56135</w:t>
        </w:r>
      </w:hyperlink>
      <w:r>
        <w:rPr>
          <w:rFonts w:ascii="arial" w:eastAsia="arial" w:hAnsi="arial" w:cs="arial"/>
          <w:color w:val="000000"/>
          <w:sz w:val="20"/>
          <w:lang w:val="en-US" w:eastAsia="en-US" w:bidi="ar-SA"/>
        </w:rPr>
        <w:t xml:space="preserve">. The plaintiff asserts that reliance does not need to be proven with respect to s. 172, and that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can be distinguished as the claim made in that case was not made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observed in </w:t>
      </w:r>
      <w:r>
        <w:rPr>
          <w:rFonts w:ascii="arial" w:eastAsia="arial" w:hAnsi="arial" w:cs="arial"/>
          <w:i/>
          <w:color w:val="000000"/>
          <w:sz w:val="20"/>
          <w:lang w:val="en-US" w:eastAsia="en-US" w:bidi="ar-SA"/>
        </w:rPr>
        <w:t>Jones v. Zimmer</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 xml:space="preserve"> at para. 21. The plaintiff says that the case law on this issue is unsettled regarding the need for individual reliance before a finding of liability can be made. Further, she argues that even if reliance is necessary to find liability under s. 172, that issue does not need to be decided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On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the plaintiff pointed to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being distinguishable from the instant as in that case the Court of Appeal only limited claims made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where there is no direct relationship between the manufacturer or supplier and the consumer; the plaintiff says that the contractual relationship between the class plaintiffs and TELUS in the present case renders the decision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inapplicable. Further, the plaintiff says that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only held that a restoration order under s. 172 was not available for disgorgement of profit or revenue claims. In response to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the plaintiff initially argued that there was an incomplete consideration of the issues in that case and as such I am not bound by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claims that a cause of action can be found given the evidence of misrepresentations made by TELUS regarding their billing and because material facts proving reliance on these misrepresentations are either not required under s. 172 or not necessary to prove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discussion of reliance in respect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requires separate consideration of s. 4 and s. 172.</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Is causation or reliance a necessary element of a deceptive representation under s. 4 of the </w:t>
      </w:r>
      <w:r>
        <w:rPr>
          <w:rFonts w:ascii="arial" w:eastAsia="arial" w:hAnsi="arial" w:cs="arial"/>
          <w:b/>
          <w:i/>
          <w:color w:val="000000"/>
          <w:sz w:val="20"/>
          <w:lang w:val="en-US" w:eastAsia="en-US" w:bidi="ar-SA"/>
        </w:rPr>
        <w:t>BPCPA</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Sections 4 and 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define and prohibit deceptive acts or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"deceptive act or practice" means, in relation to a consumer transaction,</w:t>
      </w:r>
    </w:p>
    <w:p>
      <w:pPr>
        <w:numPr>
          <w:numId w:val="7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7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includes any term or form of a contract, notice or other document used or relied on by a supplier in connection with a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 supplier must not commit or engage in a deceptive act or practice in respect of a consumer transaction.</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 deceptive act or practice, the burden of proof that the deceptive act or practice was not committed or engaged in is on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wording of s. 4(1) seems clear: representations and conduct are deceptive if they are capable of deceiving or misleading; </w:t>
      </w:r>
      <w:r>
        <w:rPr>
          <w:rFonts w:ascii="arial" w:eastAsia="arial" w:hAnsi="arial" w:cs="arial"/>
          <w:color w:val="000000"/>
          <w:sz w:val="20"/>
          <w:u w:val="single"/>
          <w:lang w:val="en-US" w:eastAsia="en-US" w:bidi="ar-SA"/>
        </w:rPr>
        <w:t>actual</w:t>
      </w:r>
      <w:r>
        <w:rPr>
          <w:rFonts w:ascii="arial" w:eastAsia="arial" w:hAnsi="arial" w:cs="arial"/>
          <w:color w:val="000000"/>
          <w:sz w:val="20"/>
          <w:lang w:val="en-US" w:eastAsia="en-US" w:bidi="ar-SA"/>
        </w:rPr>
        <w:t xml:space="preserve"> deception is not required. In </w:t>
      </w:r>
      <w:r>
        <w:rPr>
          <w:rFonts w:ascii="arial" w:eastAsia="arial" w:hAnsi="arial" w:cs="arial"/>
          <w:i/>
          <w:color w:val="000000"/>
          <w:sz w:val="20"/>
          <w:lang w:val="en-US" w:eastAsia="en-US" w:bidi="ar-SA"/>
        </w:rPr>
        <w:t>Knight v. Imperial Tobacco Canada Limited</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Knight SC</w:t>
      </w:r>
      <w:r>
        <w:rPr>
          <w:rFonts w:ascii="arial" w:eastAsia="arial" w:hAnsi="arial" w:cs="arial"/>
          <w:color w:val="000000"/>
          <w:sz w:val="20"/>
          <w:lang w:val="en-US" w:eastAsia="en-US" w:bidi="ar-SA"/>
        </w:rPr>
        <w:t xml:space="preserve">], rev'd in part </w:t>
      </w:r>
      <w:hyperlink r:id="rId958"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Satanove J. said that "[i]t is common ground that no actual deception of the plaintiff is required to establish a deceptive act." This was affirmed by the Court of Appeal in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where Hall J.A., writing for the Court, held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broad definition of deceptive acts or practices which includes acts or practices capable of deception, the question of deception or no deception is something that can, in my opinion, be litigated without reference to the circumstances of the plaintiff or individual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 submits that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is distinguishable; it argues that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was considering only the text of s. 172(3)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not the definition of "representation" for the purposes of "deceptive acts or practices" found in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do not agree; the Court in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reproduced the definition of "deceptive act or practice" at para. 18 and specifically considered the issue of "whether or not the defendant engaged in deceptive acts or practices" at para. 26. The plaintiff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alleged that the defendant's deceptive acts and practices included positive misrepresentations and failures to disclose material facts. The Court concluded that the issue could be litigated in that case without reference to the circumstances of individual class members. I also note that the above passage was reiterated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which directly addressed the definition of a deceptive representation under s. 4. In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the plaintiffs argued that the releases of liability they signed were void because the defendant's website contained deceptive information about the safety of zip-lining. As in the present matter, the plaintiffs did not plead any material facts that showed they specifically relied on the defendants' misrepresentation. The decision states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Deceptive statements cannot be pleaded in the abstract. A consumer cannot allege that a statement was deceptive -- either in support of an assertion that a transaction was unconscionable or as an independent basis for damages -- without establishing that he or she relied on that statement in entering into the transaction in issue. Absent such a nexus a statement would not be a "representation", as it would not have been "used or relied upon by a supplier in connection with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Subsequent case law from this Court has been mixed. Some decisions of this Court have held that no actual deception on an individual basis is required to establish a breach of ss. 4-5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Clark v. Energy Brands Inc.</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2014 BCSC 1891</w:t>
        </w:r>
      </w:hyperlink>
      <w:r>
        <w:rPr>
          <w:rFonts w:ascii="arial" w:eastAsia="arial" w:hAnsi="arial" w:cs="arial"/>
          <w:color w:val="000000"/>
          <w:sz w:val="20"/>
          <w:lang w:val="en-US" w:eastAsia="en-US" w:bidi="ar-SA"/>
        </w:rPr>
        <w:t xml:space="preserve"> at para. 75;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xml:space="preserve"> at para. 157, aff'd </w:t>
      </w:r>
      <w:hyperlink r:id="rId962"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xml:space="preserve">. On the other hand, at least one case has followed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on this point: </w:t>
      </w:r>
      <w:r>
        <w:rPr>
          <w:rFonts w:ascii="arial" w:eastAsia="arial" w:hAnsi="arial" w:cs="arial"/>
          <w:i/>
          <w:color w:val="000000"/>
          <w:sz w:val="20"/>
          <w:lang w:val="en-US" w:eastAsia="en-US" w:bidi="ar-SA"/>
        </w:rPr>
        <w:t>Bryan v. Gill</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2013 BCSC 1898</w:t>
        </w:r>
      </w:hyperlink>
      <w:r>
        <w:rPr>
          <w:rFonts w:ascii="arial" w:eastAsia="arial" w:hAnsi="arial" w:cs="arial"/>
          <w:color w:val="000000"/>
          <w:sz w:val="20"/>
          <w:lang w:val="en-US" w:eastAsia="en-US" w:bidi="ar-SA"/>
        </w:rPr>
        <w:t xml:space="preserve"> at para. 34. However, the conclusion in </w:t>
      </w:r>
      <w:r>
        <w:rPr>
          <w:rFonts w:ascii="arial" w:eastAsia="arial" w:hAnsi="arial" w:cs="arial"/>
          <w:i/>
          <w:color w:val="000000"/>
          <w:sz w:val="20"/>
          <w:lang w:val="en-US" w:eastAsia="en-US" w:bidi="ar-SA"/>
        </w:rPr>
        <w:t>Bryan</w:t>
      </w:r>
      <w:r>
        <w:rPr>
          <w:rFonts w:ascii="arial" w:eastAsia="arial" w:hAnsi="arial" w:cs="arial"/>
          <w:color w:val="000000"/>
          <w:sz w:val="20"/>
          <w:lang w:val="en-US" w:eastAsia="en-US" w:bidi="ar-SA"/>
        </w:rPr>
        <w:t xml:space="preserve"> was arguably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because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found to be inapplicable to the transaction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the Court did not reference its previous decision in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Also,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did not reference s. 4(2)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which states that deceptive acts or practices may occur before, during or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a consumer transaction. Clearly, a consumer cannot rely on deceptive acts or practices that occur after the consumer transaction "in entering into the transaction in issue" which therefore brings into question the need for reliance under s. 4(2). Finally, the definition of "representation" in s. 4(1) only references reliance by a </w:t>
      </w:r>
      <w:r>
        <w:rPr>
          <w:rFonts w:ascii="arial" w:eastAsia="arial" w:hAnsi="arial" w:cs="arial"/>
          <w:color w:val="000000"/>
          <w:sz w:val="20"/>
          <w:u w:val="single"/>
          <w:lang w:val="en-US" w:eastAsia="en-US" w:bidi="ar-SA"/>
        </w:rPr>
        <w:t>supplier</w:t>
      </w:r>
      <w:r>
        <w:rPr>
          <w:rFonts w:ascii="arial" w:eastAsia="arial" w:hAnsi="arial" w:cs="arial"/>
          <w:color w:val="000000"/>
          <w:sz w:val="20"/>
          <w:lang w:val="en-US" w:eastAsia="en-US" w:bidi="ar-SA"/>
        </w:rPr>
        <w:t>, and not a consumer, in connection with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would distinguish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as did the Court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the Court of Appeal upheld the certification of a product liability class proceeding. The application judge had certified the following question, among others: "With respect to British Columbia residents, did any of the defendants breach a statutory duty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owed to class members who received the Durom acetabular hip implant in British Columbia and, if so, when and how?" ( </w:t>
      </w:r>
      <w:hyperlink r:id="rId964" w:history="1">
        <w:r>
          <w:rPr>
            <w:rFonts w:ascii="arial" w:eastAsia="arial" w:hAnsi="arial" w:cs="arial"/>
            <w:i/>
            <w:color w:val="0077CC"/>
            <w:sz w:val="20"/>
            <w:u w:val="single"/>
            <w:shd w:val="clear" w:color="auto" w:fill="FFFFFF"/>
            <w:lang w:val="en-US" w:eastAsia="en-US" w:bidi="ar-SA"/>
          </w:rPr>
          <w:t>2011 BCSC 1198</w:t>
        </w:r>
      </w:hyperlink>
      <w:r>
        <w:rPr>
          <w:rFonts w:ascii="arial" w:eastAsia="arial" w:hAnsi="arial" w:cs="arial"/>
          <w:color w:val="000000"/>
          <w:sz w:val="20"/>
          <w:lang w:val="en-US" w:eastAsia="en-US" w:bidi="ar-SA"/>
        </w:rPr>
        <w:t xml:space="preserve"> at paras. 48, 75-80, 99). The statement of claim alleged breach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based on deceptive acts and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Court dismissed the defendants' appeal and distinguished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as follows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was not an action brought under the statute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Rather, the appellants, who were injured in an accident on the respondent's zip-line, claimed damages for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they invoked the statutory provisions in an attempt to avoid the effect of liability waivers they had signed. In the passage in question, the Court noted that the appellants could not resist the operation of the waivers on the basis of allegedly deceptive statements unless they showed they had relied on the statements. These remarks must be considered in their particular context and they are of no assistance to the appellants for present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went on to say that while reliance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required in order to recover compensatory damages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that question did not arise at the certification stage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I conclude that the plaintiff need not plead that she was deceived by or relied on the defendant's alleged deceptive acts or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However, I will also consider whether the representations at issue fall within the first or second category outlined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Justice G.C. Weatherill sought to reconcile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as follows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the apparent divergent lines of authority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can be reconciled on the following basis: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composition of the representation is such that a determination can be made as to whether it had the capability, tendency or effect of deceiving or misleading under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without the need for additional facts, the plaintiff need not prove that he or she was actually deceived by it because there is no need for individual inquiry to determine what comprised the representation. This will be the circumstance in most products liability and failure to warn cases. Examples include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(cigarette packages branded as "light" and "mild") and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(press release claimed a 99.5 percent success rate with the manufacturer's hip replacement implant);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composition of the representation is such that a determination cannot be made as to whether it had the capability, tendency or effect of deceiving or misleading under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without additional facts, the plaintiff must demonstrate that he or she was aware of those additional facts. This was the situation in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(statements on a website that the plaintiffs may or may not have read and may or may not have induced them to act) and </w:t>
      </w:r>
      <w:r>
        <w:rPr>
          <w:rFonts w:ascii="arial" w:eastAsia="arial" w:hAnsi="arial" w:cs="arial"/>
          <w:i/>
          <w:color w:val="000000"/>
          <w:sz w:val="20"/>
          <w:lang w:val="en-US" w:eastAsia="en-US" w:bidi="ar-SA"/>
        </w:rPr>
        <w:t>Bryan</w:t>
      </w:r>
      <w:r>
        <w:rPr>
          <w:rFonts w:ascii="arial" w:eastAsia="arial" w:hAnsi="arial" w:cs="arial"/>
          <w:color w:val="000000"/>
          <w:sz w:val="20"/>
          <w:lang w:val="en-US" w:eastAsia="en-US" w:bidi="ar-SA"/>
        </w:rPr>
        <w:t xml:space="preserve"> (the equipment had been used by the hospital, not by the plaintiff, and there was no allegation that the plaintiff was aware of or relied upon the manufacturers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TELUS argues that the plaintiff's claim falls under the second category from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As stated previously, there are no material facts pleaded by the plaintiff that go to her actual reliance on the written communications from TELUS explaining how incoming calls were billed.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 asserts that it is not plain and obvious that the term "airtime" or "airtime minutes" referred only to actual time spent talking on the phone and was not inclusive of the System Setup Time. The defendant says that this case is analogous to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in that the plaintiff has not alleged that she actually read the representations with respect to airtime on the defendant's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argues that the facts of this case more appropriately fall under the first category. The plaintiff argues that this is a failure to disclose claim and that no individual inquiry is required as there was no specific representation to rely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my view, the representations in this case are closer to those in the first category from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and therefore individual reliance need not be pleaded for a breach of ss. 4-5. I prefer the vernacular definition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To conclude,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is distinguishable;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which state that reliance is not necessary for a breach of ss. 4-5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apply to this case. I am also of the view that the representations in this case would fit in the first category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and therefore a determination can be made as to whether they breached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without the need for additional facts.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Is reliance a prerequisite to a restoration order under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While the plaintiff need not plead that she relied on or was deceived by the defendant's acts or practices in order to establish a breach of ss. 4-5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she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need to do so in order to succeed in her claim under s. 172(3)(a). The necessity of reliance, or actual and individual deception, in a s. 172(3)(a) claim is a matter of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Paragraph 172(3)(a) allows the court to "restore to any person any money or other property or thing" in which that person has an interest, but only if it "may have been acquired </w:t>
      </w:r>
      <w:r>
        <w:rPr>
          <w:rFonts w:ascii="arial" w:eastAsia="arial" w:hAnsi="arial" w:cs="arial"/>
          <w:color w:val="000000"/>
          <w:sz w:val="20"/>
          <w:u w:val="single"/>
          <w:lang w:val="en-US" w:eastAsia="en-US" w:bidi="ar-SA"/>
        </w:rPr>
        <w:t>because of</w:t>
      </w:r>
      <w:r>
        <w:rPr>
          <w:rFonts w:ascii="arial" w:eastAsia="arial" w:hAnsi="arial" w:cs="arial"/>
          <w:color w:val="000000"/>
          <w:sz w:val="20"/>
          <w:lang w:val="en-US" w:eastAsia="en-US" w:bidi="ar-SA"/>
        </w:rPr>
        <w:t xml:space="preserve"> a contravention of this Act or the regulations" (emphasis added). This clearly imports a causation requirement. However, causation does not necessarily require reliance, even in misrepresentation cases. As the Court of Appeal held in </w:t>
      </w:r>
      <w:r>
        <w:rPr>
          <w:rFonts w:ascii="arial" w:eastAsia="arial" w:hAnsi="arial" w:cs="arial"/>
          <w:i/>
          <w:color w:val="000000"/>
          <w:sz w:val="20"/>
          <w:lang w:val="en-US" w:eastAsia="en-US" w:bidi="ar-SA"/>
        </w:rPr>
        <w:t>Collette v. Great Pacific Management Co.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at para. 34 (a negligent misrepresentation case), "[t]he reason for insistence on reliance is to establish causation. If causation can be established otherwise, then reliance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Collette</w:t>
      </w:r>
      <w:r>
        <w:rPr>
          <w:rFonts w:ascii="arial" w:eastAsia="arial" w:hAnsi="arial" w:cs="arial"/>
          <w:color w:val="000000"/>
          <w:sz w:val="20"/>
          <w:lang w:val="en-US" w:eastAsia="en-US" w:bidi="ar-SA"/>
        </w:rPr>
        <w:t>, the allegation that the mortgage units would not have been offered for sale had the respondents exercised due diligence adequately linked a breach of duty causally to the investors' losses even without proof of reliance. In this case, if the contracts at issue contained an express term to the effect that TELUS would only bill for "airtime", a breach of this term would give the plaintiff and proposed class plaintiffs a right to damages for breach of contract whether or not they relied on TELUS' representations. In this regard, the plaintiff has set out in her Notice of Civil Claim that as a result of the deceptive and/or unconscionable acts and practice she and the class have suffered damages due to:</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charged for incoming calls above the rate properly chargeable pursuant to the Agreements and the Plans;</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choosing more expensive plans that include "no extra charge" minutes than they would have needed had incoming calls been timed and charged on airtime alone; and</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exhausting the "no extra charge" minutes earlier than they should have and incurring per minute or per second charges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Turning to the case law on s. 172, some cases have stated that a plaintiff is required to plead at least some reliance on a deceptive act or practice in a claim under both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at para. 126; </w:t>
      </w:r>
      <w:r>
        <w:rPr>
          <w:rFonts w:ascii="arial" w:eastAsia="arial" w:hAnsi="arial" w:cs="arial"/>
          <w:i/>
          <w:color w:val="000000"/>
          <w:sz w:val="20"/>
          <w:lang w:val="en-US" w:eastAsia="en-US" w:bidi="ar-SA"/>
        </w:rPr>
        <w:t>Bryan v. Gill</w:t>
      </w:r>
      <w:r>
        <w:rPr>
          <w:rFonts w:ascii="arial" w:eastAsia="arial" w:hAnsi="arial" w:cs="arial"/>
          <w:color w:val="000000"/>
          <w:sz w:val="20"/>
          <w:lang w:val="en-US" w:eastAsia="en-US" w:bidi="ar-SA"/>
        </w:rPr>
        <w:t xml:space="preserve"> at para. 34. However, the finding in </w:t>
      </w:r>
      <w:r>
        <w:rPr>
          <w:rFonts w:ascii="arial" w:eastAsia="arial" w:hAnsi="arial" w:cs="arial"/>
          <w:i/>
          <w:color w:val="000000"/>
          <w:sz w:val="20"/>
          <w:lang w:val="en-US" w:eastAsia="en-US" w:bidi="ar-SA"/>
        </w:rPr>
        <w:t>Bryan v. Gill</w:t>
      </w:r>
      <w:r>
        <w:rPr>
          <w:rFonts w:ascii="arial" w:eastAsia="arial" w:hAnsi="arial" w:cs="arial"/>
          <w:color w:val="000000"/>
          <w:sz w:val="20"/>
          <w:lang w:val="en-US" w:eastAsia="en-US" w:bidi="ar-SA"/>
        </w:rPr>
        <w:t xml:space="preserve"> was based on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which, as I have found, does not dictate the result here.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was based on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but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did not address whether reliance is required under s. 172, only whether it is required to establish a deceptive act or practice under ss. 4-5. The Court in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did not specifically address the issue of reliance; it determined that the fee in question was not deceptive as there was no basis on which one would consider the fee as a tax payable to the government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Other cases suggest that reliance is not necessarily required under s. 172. For example, the Court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held that s. 172(3) "does not necessarily import a reliance requirement" but does require "some evidence linking the contravention to the loss" (para.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Given the different lines of reasoning, I am not persuaded that the plaintiff's failure to plead reliance on the defendant's alleged misrepresentation should be fatal to her certification application, particularly in light of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which in my view is in line with the consumer-friendly interpretive approach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endorsed in </w:t>
      </w:r>
      <w:r>
        <w:rPr>
          <w:rFonts w:ascii="arial" w:eastAsia="arial" w:hAnsi="arial" w:cs="arial"/>
          <w:i/>
          <w:color w:val="000000"/>
          <w:sz w:val="20"/>
          <w:lang w:val="en-US" w:eastAsia="en-US" w:bidi="ar-SA"/>
        </w:rPr>
        <w:t>Seidel SCC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seems to me that whether reliance is required under s. 172 depends on the nature of the alleged contravention of the legislation. Where the alleged contravention involves a wrongful overcharge contrary to a term of a contract, the fact of the unauthorized overcharge causally links the breach to the plaintiff's loss. In these circumstances, the plaintiff need not show (and therefore need not plead)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conclude that it is not plain and obvious that a claim under s. 172 cannot succeed. However, if reliance is required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plaintiff should be allowed to rectify that in the circumstances of this case given the uncertainty in the case law. The certification of a class proceeding is a procedural and not a substantive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conclude that it is not plain and obvious that the pleadings do not disclose a cause of action based on the absence of reliance.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Has the plaintiff properly pleaded that TELUS committed an unconscionable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alleges that TELUS' billing practices were unconscionable. The plaintiff alleges unconscionable acts or practices generally and specifically references s. 8(3)(b),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(3) Without limiting subsection (2), the circumstances that the court must consider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took advantage of the consumer or guarantor's inability or incapacity to reasonably protect his or her own interest because of the consumer or guarantor's physical or mental infirmity, ignorance, illiteracy, age or inability to understand the character, nature or language of the consumer transaction, or any other matter related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argues that the plaintiff has not properly pleaded that its acts were "unconscionable" for the purposes of s. 8. The defendant relies on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at para. 54, where the Court said that the elements of unconscionability are the same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they are at common law: inequality in the respective positions of the parties and proof of substantial unfairness in the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According to the defendant the plaintiff has not provided material facts that support either of these requirements and as such no cause of action can be derived from the plaintiff's claims under ss. 8 and 9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TELUS further submits that the plaintiff has failed to plead the elements of s. 8(3)(b), which the plaintiff specifically referenced in her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simply states that her claim related to unconscionable acts or practices is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define "unconscionable act or practice". However, s. 8 states that it may occur before, during or after the consumer transaction (s. 8(1)) and stipulates that the court must consider "all of the surrounding circumstances of which the supplier knew or ought to have known" (s. 8(2)). Subsection 8(3) provides a non-exhaustive list of circumstances the court must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First, I do not think that failure to plead the elements of s. 8(3)(b) is fatal to the plaintiff's claim. I note the section itself is specifically mentioned in her pleadings, but subsection 8(2) requires a court to consider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of the circumstances of which the supplier knew or ought to have known. Subsection 8(3) simply lists some of the circumstances that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courts have held that s.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"largely codifies the common law of unconscionability": </w:t>
      </w:r>
      <w:r>
        <w:rPr>
          <w:rFonts w:ascii="arial" w:eastAsia="arial" w:hAnsi="arial" w:cs="arial"/>
          <w:i/>
          <w:color w:val="000000"/>
          <w:sz w:val="20"/>
          <w:lang w:val="en-US" w:eastAsia="en-US" w:bidi="ar-SA"/>
        </w:rPr>
        <w:t>Connor Financial Services International Inc. v. Laughlin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2015 BCSC 587</w:t>
        </w:r>
      </w:hyperlink>
      <w:r>
        <w:rPr>
          <w:rFonts w:ascii="arial" w:eastAsia="arial" w:hAnsi="arial" w:cs="arial"/>
          <w:color w:val="000000"/>
          <w:sz w:val="20"/>
          <w:lang w:val="en-US" w:eastAsia="en-US" w:bidi="ar-SA"/>
        </w:rPr>
        <w:t xml:space="preserve"> at para. 27. Thus, "whether one is considering unconscionability at common law or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essential elements are the same":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at para. 54. These elements are (a) inequality of in the position of the parties arising from the ignorance, need or distress of the weaker, which left him or her in the power of the stronger; and (b) proof of substantial unfairness in the bargain: </w:t>
      </w:r>
      <w:r>
        <w:rPr>
          <w:rFonts w:ascii="arial" w:eastAsia="arial" w:hAnsi="arial" w:cs="arial"/>
          <w:i/>
          <w:color w:val="000000"/>
          <w:sz w:val="20"/>
          <w:lang w:val="en-US" w:eastAsia="en-US" w:bidi="ar-SA"/>
        </w:rPr>
        <w:t>McNeill v. Vandenburg</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2010 BCCA 583</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Turning to the plaintiff's pleadings, she alleges in her notice of civil claim that TELUS knew or ought to have known that the plaintiff and proposed class plaintiffs did not know or understand the manner in which usage time for incoming calls was calculated and that TELUS, in breach of its contracts, billed for incoming calls from when the caller connected to TELUS' network rather than from when the recipient answered their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plaintiff also asserts that TELUS engaged in unconscionable acts or practices by misrepresenting its billing practices. Unconscionability in this sense refers to unconscionable conduct; that is, "contrary to the dictates of conscience" or "not right or reasonable": </w:t>
      </w:r>
      <w:r>
        <w:rPr>
          <w:rFonts w:ascii="arial" w:eastAsia="arial" w:hAnsi="arial" w:cs="arial"/>
          <w:i/>
          <w:color w:val="000000"/>
          <w:sz w:val="20"/>
          <w:lang w:val="en-US" w:eastAsia="en-US" w:bidi="ar-SA"/>
        </w:rPr>
        <w:t>The Concise Oxford Dictionary</w:t>
      </w:r>
      <w:r>
        <w:rPr>
          <w:rFonts w:ascii="arial" w:eastAsia="arial" w:hAnsi="arial" w:cs="arial"/>
          <w:color w:val="000000"/>
          <w:sz w:val="20"/>
          <w:lang w:val="en-US" w:eastAsia="en-US" w:bidi="ar-SA"/>
        </w:rPr>
        <w:t xml:space="preserve">, 7th ed., </w:t>
      </w:r>
      <w:r>
        <w:rPr>
          <w:rFonts w:ascii="arial" w:eastAsia="arial" w:hAnsi="arial" w:cs="arial"/>
          <w:i/>
          <w:color w:val="000000"/>
          <w:sz w:val="20"/>
          <w:lang w:val="en-US" w:eastAsia="en-US" w:bidi="ar-SA"/>
        </w:rPr>
        <w:t>sub verbo</w:t>
      </w:r>
      <w:r>
        <w:rPr>
          <w:rFonts w:ascii="arial" w:eastAsia="arial" w:hAnsi="arial" w:cs="arial"/>
          <w:color w:val="000000"/>
          <w:sz w:val="20"/>
          <w:lang w:val="en-US" w:eastAsia="en-US" w:bidi="ar-SA"/>
        </w:rPr>
        <w:t xml:space="preserve">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Reading these allegations and the remainder of the plaintiff's notice of civil claim generously and recognizing that the technology and processes behind wireless communications is not apparent to the general public, that the billing for System Set Up was not clearly described, the comparative sophistication of TELUS, the significant relative market power of TELUS, and that the subject standard contracts or plans were created by TELUS, I conclude that it is not plain and obvious that the plaintiff's claims with respect to unconscionability cannot succeed. In my view, the plaintiff has met the cause of action requirement for certification with respect to these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there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Section 4(1)(b)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an identifiable class of two or more persons to certify a class proceeding. Defining the scope of the class is crucial: it identifies individuals who have a possible claim against the defendant, it identifies those individuals entitled to notice of the certification and, if relief is rewarded, it identifies those who are bound by the judgment: </w:t>
      </w:r>
      <w:r>
        <w:rPr>
          <w:rFonts w:ascii="arial" w:eastAsia="arial" w:hAnsi="arial" w:cs="arial"/>
          <w:i/>
          <w:color w:val="000000"/>
          <w:sz w:val="20"/>
          <w:lang w:val="en-US" w:eastAsia="en-US" w:bidi="ar-SA"/>
        </w:rPr>
        <w:t>Western Canadian Shopping Centres v. Dutton</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the Supreme Court of Canada held that a class should be defined so that it is not overly broad; all attempts to narrow the class, without doing so arbitrarily, should be made. Where the scope of the class is not obvious, it is the putative representative of the class who bears the burden of ensuring the scope is appropriately narrowed. The Court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also noted that implicit in the "identifiable class" requirement is the requirement that there be some rational relationship between the class and common issues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the Supreme Court of Canada required that the class definition state objective criteria on which class members could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proposed class definition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individual customers of the Defendant who were resident in British Columbia and who contracted for cellular telephone services through the Defendant from January 21, 1999 (excluding the Defendants' employees and agents) to the date on which the Defendant changed the language in its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points to several factors in her definition which she claims can be assessed objectively. A class member must be: an individual; a TELUS customer during the class period; a resident of this province during the time of their contract with TELUS; and not an employee or agent of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submits that there are two significant problems with the proposed class definition. First, the defendant says that the definition is overbroad, as it captures TELUS customers who were not "consumers". Second, it is impossible to objectively determine whether a customer is a "consumer" who participated in a "consumer transaction".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Is the class definition overbroad because it extends beyond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defendant says that the proposed class is overbroad because it captures TELUS customers who are not "consumers"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 "consumer transaction"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defined as "a supply of goods or services or real property by a supplier to a consumer for purposes that are primarily personal, family or household". Only TELUS customers who are "consumers" can participate in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TELUS argues that many customers that fall within the proposed class definition would not be considered consumers because they used their phones predominantly for business purposes. The defendant argues that even the plaintiff, Ms. Seidel, is unlikely to be considered a consumer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in certain times during the Class Period she used her phone primarily for a business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recognizes this issue and argues that this determination is an individual issue and can be resolved after the common issues trial. It is possible for a court to reflect the disparity between business and personal use in a decision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 also submits that the "business purpose" exclusion argument cannot stand because otherwise no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claim could be the subject of a class action when there is a possibility that some people caught by the class definition were using a product or service primarily for a business purpose. It would be impossible to craft a class definition that is objective and does not at the same time include individuals who might not, in the end, prove to be "consumers". According to the plaintiff this would result in a catch 22 that would undermine the aims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and this could not have contemplated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note that there are cases where a broad definition has been found acceptable and others where it has not. The parties have provided cases demonstrating this. It seems that the determination is dependent upon the circumstances of each case having regard to the purposes of a class definition considered in the context of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In this case, I would also include the consumer-oriented focus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my view, the proposed class definition in this case appears broad. However, the defect is not fatal to certification because the definition permits objective identification and, as I discuss below, I do not think that the individual inquiry as to whether a class member is a consumer makes the definition unworkable for the purpose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plaintiff has referred to cases which support my conclusion regarding class definition, including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rev'd </w:t>
      </w:r>
      <w:hyperlink r:id="rId878"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leave to appeal to S.C.C. granted (but appeal discontinued), </w:t>
      </w:r>
      <w:hyperlink r:id="rId969" w:history="1">
        <w:r>
          <w:rPr>
            <w:rFonts w:ascii="arial" w:eastAsia="arial" w:hAnsi="arial" w:cs="arial"/>
            <w:i/>
            <w:color w:val="0077CC"/>
            <w:sz w:val="20"/>
            <w:u w:val="single"/>
            <w:shd w:val="clear" w:color="auto" w:fill="FFFFFF"/>
            <w:lang w:val="en-US" w:eastAsia="en-US" w:bidi="ar-SA"/>
          </w:rPr>
          <w:t>[1998] S.C.C.A. No. 260</w:t>
        </w:r>
      </w:hyperlink>
      <w:r>
        <w:rPr>
          <w:rFonts w:ascii="arial" w:eastAsia="arial" w:hAnsi="arial" w:cs="arial"/>
          <w:color w:val="000000"/>
          <w:sz w:val="20"/>
          <w:lang w:val="en-US" w:eastAsia="en-US" w:bidi="ar-SA"/>
        </w:rPr>
        <w:t xml:space="preserve">, [1998] 3 S.C.R. vi;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Merrill Lynch Canada Inc.</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Sandhu v. HSBC Finance Mortgages Inc.</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2014 BCSC 2041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Sherry v. CIBC Mortgage Inc.</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2014 BCSC 1199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If I am wrong, and the class definition is overbroad, it can be rectified by narrowing the class to the definition of "consumers" and "consumer transactions"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Specifically, individuals who contracted "primarily for personal, family or household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any case, with respect to prepaid customers only, the class period will need to be limited to the period from January 21, 1999 to the date on which prepaid customers were no longer charged for System Setup Time. TELUS indicates that this was sometime in late 2004.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Is it possible to objectively determine if a customer is a "consumer" and a transaction was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 raises a problem with the class definition if it were limited to "consumers": an almost identical class definition was viewed as an "insurmountable hurdle to certification"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the proposed class definition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individuals, resident in British Columbia, who have purchased wireless cellular telephone services from one or more of the Defendants for purposes that were primarily personal, family or household and have been charged, and have paid, a monthly fee described as a "system access fee", "systems administration fee", "license administration fee", "annual licensing fee", "system licensing charge" or "systems licensing administration fee" during the period December 16, 2005 to the date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This class definition was problematic as it would require an extensive investigation to determine if each proposed class member utilized their cellular services for primarily personal or business purposes. The Court held at para. 125 that "although it is possible to </w:t>
      </w:r>
      <w:r>
        <w:rPr>
          <w:rFonts w:ascii="arial" w:eastAsia="arial" w:hAnsi="arial" w:cs="arial"/>
          <w:color w:val="000000"/>
          <w:sz w:val="20"/>
          <w:u w:val="single"/>
          <w:lang w:val="en-US" w:eastAsia="en-US" w:bidi="ar-SA"/>
        </w:rPr>
        <w:t>define</w:t>
      </w:r>
      <w:r>
        <w:rPr>
          <w:rFonts w:ascii="arial" w:eastAsia="arial" w:hAnsi="arial" w:cs="arial"/>
          <w:color w:val="000000"/>
          <w:sz w:val="20"/>
          <w:lang w:val="en-US" w:eastAsia="en-US" w:bidi="ar-SA"/>
        </w:rPr>
        <w:t xml:space="preserve"> the class, it is not possible to objectively identify the persons who meet the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says that the result is the same in the instant matter; it is practically impossible to find properly defined consumers given the multitude of customers who had participated in a multitude of rate plans for a multitude of purposes during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issue of whether the proposed class was identifiable was not addressed in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as the Court found it unnecessary to address the issue given its conclusion that there was no foundation for a class action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do not find that the problems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referred to by TELUS make it impossible to objectively identify class members. For one, I tend to agree with the applicant that consumers make up a significant proportion of those contracting with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Further, in my view it is possible to objectively determine whether a customer's phone was used primarily for personal, family or household purposes. For example, a customer's phone records, whether the customer claimed some or all of their phone expenses as business expenses for income tax purposes, and whether the customer listed their cell phone as a business number are all factors that can be used to objectively assess whether the customer used their phone primarily for personal, family or household purposes. For many customers this determination will be straightforward, while for some it may be more complicated. The fact that there can be difficulties in objectively determining whether a customer was a "consumer" does not mean it is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Regardless of whether the proposed class definition or a narrowed one based on the definition of a "consumer" who participated in a "consumer transaction" is selected, to the extent that there are non-consumers or non-consumer transactions involved, this matter can be addressed after the common issues trial or under s.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or even under administrative protocols in the claims adjudication process dealing with eligibility. In class proceedings where there are a large number of claimants, significant post-common issues can be anticipated. I note that this was the reasoning in </w:t>
      </w:r>
      <w:r>
        <w:rPr>
          <w:rFonts w:ascii="arial" w:eastAsia="arial" w:hAnsi="arial" w:cs="arial"/>
          <w:i/>
          <w:color w:val="000000"/>
          <w:sz w:val="20"/>
          <w:lang w:val="en-US" w:eastAsia="en-US" w:bidi="ar-SA"/>
        </w:rPr>
        <w:t>Wellman</w:t>
      </w:r>
      <w:r>
        <w:rPr>
          <w:rFonts w:ascii="arial" w:eastAsia="arial" w:hAnsi="arial" w:cs="arial"/>
          <w:color w:val="000000"/>
          <w:sz w:val="20"/>
          <w:lang w:val="en-US" w:eastAsia="en-US" w:bidi="ar-SA"/>
        </w:rPr>
        <w:t xml:space="preserve"> in finding that the class was adequately described (at para. 42). In </w:t>
      </w:r>
      <w:r>
        <w:rPr>
          <w:rFonts w:ascii="arial" w:eastAsia="arial" w:hAnsi="arial" w:cs="arial"/>
          <w:i/>
          <w:color w:val="000000"/>
          <w:sz w:val="20"/>
          <w:lang w:val="en-US" w:eastAsia="en-US" w:bidi="ar-SA"/>
        </w:rPr>
        <w:t>Wellman</w:t>
      </w:r>
      <w:r>
        <w:rPr>
          <w:rFonts w:ascii="arial" w:eastAsia="arial" w:hAnsi="arial" w:cs="arial"/>
          <w:color w:val="000000"/>
          <w:sz w:val="20"/>
          <w:lang w:val="en-US" w:eastAsia="en-US" w:bidi="ar-SA"/>
        </w:rPr>
        <w:t xml:space="preserve">, where a similarly broad definition was proposed, the Court expressly disagreed with the finding in </w:t>
      </w:r>
      <w:r>
        <w:rPr>
          <w:rFonts w:ascii="arial" w:eastAsia="arial" w:hAnsi="arial" w:cs="arial"/>
          <w:i/>
          <w:color w:val="000000"/>
          <w:sz w:val="20"/>
          <w:lang w:val="en-US" w:eastAsia="en-US" w:bidi="ar-SA"/>
        </w:rPr>
        <w:t>Ileman SC</w:t>
      </w:r>
      <w:r>
        <w:rPr>
          <w:rFonts w:ascii="arial" w:eastAsia="arial" w:hAnsi="arial" w:cs="arial"/>
          <w:color w:val="000000"/>
          <w:sz w:val="20"/>
          <w:lang w:val="en-US" w:eastAsia="en-US" w:bidi="ar-SA"/>
        </w:rPr>
        <w:t xml:space="preserve"> that the identification posed an insurmountable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that the applicant has adequately specified an identifiable class. Alternatively, the class definition can be amended so it is limited to the supply of wireless services from the defendant to customers "for purposes that are primarily personal, family or household". In any event, the class period for prepaid customers should be amended to end on the date on which the defendant stopped charging prepaid customers for System Setup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Do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At the heart of any class proceeding is the resolution of common issues: </w:t>
      </w:r>
      <w:r>
        <w:rPr>
          <w:rFonts w:ascii="arial" w:eastAsia="arial" w:hAnsi="arial" w:cs="arial"/>
          <w:i/>
          <w:color w:val="000000"/>
          <w:sz w:val="20"/>
          <w:lang w:val="en-US" w:eastAsia="en-US" w:bidi="ar-SA"/>
        </w:rPr>
        <w:t>Thorburn v. British Columbia (Public Safety and Solicitor General)</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xml:space="preserve"> at para. 35. The critical factors and considerations in determining whether an issue is common to the proposed class members are:</w:t>
      </w:r>
      <w:r>
        <w:rPr>
          <w:rFonts w:ascii="arial" w:eastAsia="arial" w:hAnsi="arial" w:cs="arial"/>
          <w:sz w:val="20"/>
          <w:lang w:val="en-US" w:eastAsia="en-US" w:bidi="ar-SA"/>
        </w:rPr>
        <w:cr/>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resolution of the common issue will avoid duplication of fact-finding or legal analysis: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39;</w:t>
      </w:r>
    </w:p>
    <w:p>
      <w:pPr>
        <w:numPr>
          <w:numId w:val="8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issue must be a substantial ingredient of each class member's claim and its resolution must be necessary to the resolution of each member's claim: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18; and</w:t>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success for one class member on a common issue need not mean success for all, but success for one member must not mean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general the threshold to meet the commonality requirement is low; there must be a rational connection between the class and the proposed common issues and each common issue must be a triable legal or factual issue, the determination of which will move the litigation forward: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at para. 38. Commonality may be satisfied "whether or not common issues predominate over issues affecting only individual members": s. 4(1)(c). While the plaintiff must show "some basis in fact" to satisfy the commonality requirement, this only requires evidence establishing that these questions are common to the class: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proposes that the following common issues be certified:</w:t>
      </w:r>
      <w:r>
        <w:rPr>
          <w:rFonts w:ascii="arial" w:eastAsia="arial" w:hAnsi="arial" w:cs="arial"/>
          <w:sz w:val="20"/>
          <w:lang w:val="en-US" w:eastAsia="en-US" w:bidi="ar-SA"/>
        </w:rPr>
        <w:cr/>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period of January 21, 1999 to April 2010 (the date on which the Defendant changed its contract language) (the "Material Time"), was the Defendant's billing practice in relation to incoming calls a "deceptive act or practice"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Material Time, were the Defendant's representations to the Class Plaintiffs in relation to how they would be charged for incoming calls such that they constituted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Material Time, was the Defendant's billing practice in relation to incoming calls an "unconscionable act or practice"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Material Time, were the Defendant's representations to the Class Plaintiffs in relation to how they would be charged for incoming calls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Defendant's billing practice or representations respecting incoming calls during the Material Time were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were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are the Class Plaintiff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other members of the class entitled to:</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declaratory order under s. 172(1)(a) to the effect that the Defendant has engaged in an act or practice that contravenes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 172(3)(a) compelling the Defendant to restore the monies improperly paid as a result of the act or practice?</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Defendant's billing practice or representations respecting incoming calls during the Material Time were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were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can an aggregate monetary award be made for the benefit of all class members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If so, what is the amount of the aggregate monetary award?</w:t>
      </w:r>
    </w:p>
    <w:p>
      <w:pPr>
        <w:numPr>
          <w:numId w:val="9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have been the Defendant's practices with respect to retention and destruction of documents and data touching upon the calculation of the amount of a restoration order?</w:t>
      </w:r>
    </w:p>
    <w:p>
      <w:pPr>
        <w:numPr>
          <w:numId w:val="9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Defendant's practices with respect to retention and destruction of the said documents and data amount to spoliation?</w:t>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consequences should follow from the Defendant's practices with respect to retention and destruction of the said documents and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Issues (a)-(f) are from the notice of application and issues (g)-(i) were added during 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addressing commonality, TELUS submitted that the case involved an insurmountable number of individual inquiries. It pointed to the variety of communications which TELUS had with its customers in concluding contracts and the various levels of awareness the customers had in regard to the manner they would be paying for their service; whether a customer was a "consumer"; what representations were made to a customer by TELUS or its agents; whether a call timer function was used by a customer; the individual circumstances of its customers; etc. I note that the plaintiff's case is not based on individual communications but rather on TELUS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Overall, I am of the view that the individual inquiries (to the extent that any are relevant) do overwhelm the commonality of the issues. My view is that the common issues will move the litigation forward. I agree with the plaintiff's submissions that cases more analogous to the instant case are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Sherry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Proposed common issue (a): "deceptive" billing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asserts that issue (a) is both a factual and legal issue and involves determining what the defendant's billing practices were during the Class Period and whether they can be considered a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 argues that this issue is essentially a breach of contract claim; namely, whether TELUS breached its contracts with class members by charging for the System Setup Time when the contract contained a term that minutes were calculated only for time spent talking on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defendant says that the plaintiff's notice of civil claim does not allege that the fact of charging for System Setup Time is a deceptive act or practice. Further, the defendant asserts that breach of contract is not captured by "deceptive acts or practices" under s. 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even if it was, no such express or implied term existed in TELUS' wireless contracts. The defendant also submits that to determine whether there was an implied term in the contract is not obvious and would require extensive individual inquiry. Finally, the defendant says that breach of contract claims cannot be certified as common issues as a result of the arbitration clause in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my opinion, this issue is suitable for determination as a common issue. Clearly, establishing what the defendant's billing practices were in the Class Period is a crucial issue and is common to all the Class Plaintiffs. The failure to state a material fact, namely charging call recipients for System Setup Time, fits within the definition of a deceptive act or practice: s. 4(1)(3)(vi). The plaintiff is no longer relying on implied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reject the defendant's argument that the arbitration clause is a bar to certification of this issue. The plaintiff's claim is brought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therefore is shielded from the arbitration clause by s. 3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Thus, I would certify proposed common issue (a).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Proposed common issue (b): "deceptive"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Common issue (b) goes to the heart of this class action. The plaintiff says that this issue raises the common factual question of what TELUS' written representations to consumers during the Class Period were and the common legal question of whether those representations are deceptive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says issue (b) is not common. TELUS states that a multiplicity of individual inquiries of fact and law are necessary which prevent the plaintiff from establishing the commonality requirement. However, I have already determined individual inquiries do not overtake commonality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my view, this issue is suitable for determination as a common issue. The plaintiff's allegation is that the defendant made written misrepresentations in contractual and extra-contractual documents to the effect that customers would only be charged for "airtime" and then charged them for airtime plus System Setup Time. The contracts and documents in evidence use terms such as "airtime", "airtime minutes", and "airtime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issue raises common factual and legal questions. For example, the question of when TELUS began charging for incoming phone calls is common to all plaintiffs. The meaning of "airtime" in the contracts and other documents is also common. I note that s. 4(3)(b)(iv) states that a deceptive act or practice includes a representation "that a consumer transaction involves or does not involve rights, remedies or obligations that differs from the fact". Importantly, the representations at issue are the same or very similar; as a result, I am satisfied that the plaintiff has shown some basis in fact that this issue is common and can be litigated without reference to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Accordingly, issue (b) is suitable for certification.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Proposed common issue (c): "unconscionable" billing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Common issues (c) and (d) relate to whether the billing practices and representations of the defendant were unconscionable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plaintiff says that these are common issues that involve a factual finding of what the billing practices and representations were during the Class Period and a legal finding of whether they are unconscionable under ss. 8 and 9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 asserts that the plaintiff has not properly pleaded the requirements for unconscionability and has provided no material facts to support this allegation. The defendant says that the common issues on unconscionability should not be certified for the same reasons that a proper cause of action in unconscionability has not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already concluded that the proposed common issues with respect to deceptive acts or practices are common and I find that the proposed issues related to unconscionability are also common and 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Contrary to the defendant's submission, I am satisfied that the plaintiff has met the "some basis in fact" standard to certify common issue (c). I have already mentioned the evidence of TELUS representatives in relation to the lack of customer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While inequality of bargaining power (the first element of unconscionability) may sometimes require assessment of individual facts, in some cases it may be determined on a class-wide basis: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xml:space="preserve"> at para. 75, leave to appeal to S.C.C. refused, </w:t>
      </w:r>
      <w:hyperlink r:id="rId976" w:history="1">
        <w:r>
          <w:rPr>
            <w:rFonts w:ascii="arial" w:eastAsia="arial" w:hAnsi="arial" w:cs="arial"/>
            <w:i/>
            <w:color w:val="0077CC"/>
            <w:sz w:val="20"/>
            <w:u w:val="single"/>
            <w:shd w:val="clear" w:color="auto" w:fill="FFFFFF"/>
            <w:lang w:val="en-US" w:eastAsia="en-US" w:bidi="ar-SA"/>
          </w:rPr>
          <w:t>[2010] S.C.C.A. No. 345</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2011 CanLII 7738</w:t>
        </w:r>
      </w:hyperlink>
      <w:r>
        <w:rPr>
          <w:rFonts w:ascii="arial" w:eastAsia="arial" w:hAnsi="arial" w:cs="arial"/>
          <w:color w:val="000000"/>
          <w:sz w:val="20"/>
          <w:lang w:val="en-US" w:eastAsia="en-US" w:bidi="ar-SA"/>
        </w:rPr>
        <w:t xml:space="preserve">. Similarly, substantial unfairness of the bargain can sometimes be assessed on a class-wide basis without reference to individual circumstances: see for example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2013 BCSC 16</w:t>
        </w:r>
      </w:hyperlink>
      <w:r>
        <w:rPr>
          <w:rFonts w:ascii="arial" w:eastAsia="arial" w:hAnsi="arial" w:cs="arial"/>
          <w:color w:val="000000"/>
          <w:sz w:val="20"/>
          <w:lang w:val="en-US" w:eastAsia="en-US" w:bidi="ar-SA"/>
        </w:rPr>
        <w:t xml:space="preserve"> at para. 127;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2006 BCCA 260</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 also note that s. 8(2)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focuses on whether TELUS "knew or ought to have known" that its act or practice was unconscionable. The plaintiff has made such a pleading. The provision focuses more on TELUS rather than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Upon a review of all the circumstances, including the factors mentioned in para. 124 of these reasons, I am satisfied that the plaintiff has shown some basis in fact for her contention that the unconscionability of TELUS' billing practices is a common issue that can be litigated without reference to individual circumstances. Accordingly, proposed issue (c) is suitable for certification.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Proposed common issue (d): "unconscionable"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Similarly, I am also satisfied that the plaintiff has shown some basis in fact for her assertion that the issue of whether TELUS' representations amounted to unconscionable acts or practices is common. As such, proposed issue (d) is also suitable for certification.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Proposed common issue (e): remedies under s. 172</w:t>
      </w:r>
    </w:p>
    <w:p>
      <w:pPr>
        <w:numPr>
          <w:numId w:val="10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Declaratory relief: s. 172(1)(a)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Common issue (e) goes to the remedies available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where there has been a contravention of the legislation. The defendant concedes that declaratory relief is an appropriate common issue for certification but argues that this remedy may be of limited value given that TELUS has already changed the language in its cellular contracts. This is not relevant at the commonality stage, and I find that common issue (e)(i) is suitable for certification.</w:t>
      </w:r>
      <w:r>
        <w:rPr>
          <w:rFonts w:ascii="arial" w:eastAsia="arial" w:hAnsi="arial" w:cs="arial"/>
          <w:sz w:val="20"/>
          <w:lang w:val="en-US" w:eastAsia="en-US" w:bidi="ar-SA"/>
        </w:rPr>
        <w:cr/>
      </w:r>
    </w:p>
    <w:p>
      <w:pPr>
        <w:numPr>
          <w:numId w:val="10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Restoration order: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With respect to the restoration order, the defendant repeats the argument that no such order can be given in this case given that the plaintiff has not shown an interest in the monies she seeks to be restored. Further, the defendant says that in terms of the class there would be many class members who have not suffered any loss based on the multitude of different rate plans and calling options that existed during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 have concluded based on </w:t>
      </w:r>
      <w:r>
        <w:rPr>
          <w:rFonts w:ascii="arial" w:eastAsia="arial" w:hAnsi="arial" w:cs="arial"/>
          <w:i/>
          <w:color w:val="000000"/>
          <w:sz w:val="20"/>
          <w:lang w:val="en-US" w:eastAsia="en-US" w:bidi="ar-SA"/>
        </w:rPr>
        <w:t>Ileman CA</w:t>
      </w:r>
      <w:r>
        <w:rPr>
          <w:rFonts w:ascii="arial" w:eastAsia="arial" w:hAnsi="arial" w:cs="arial"/>
          <w:color w:val="000000"/>
          <w:sz w:val="20"/>
          <w:lang w:val="en-US" w:eastAsia="en-US" w:bidi="ar-SA"/>
        </w:rPr>
        <w:t xml:space="preserve"> that s. 172(3)(a) does not require a proprietary nexus. I have also concluded that individual reliance is not a prerequisite to relief under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my view, the fact that there exists class members who may have not lost any money by reason of TELUS' alleged deceptive or unconscionable acts or practices does not preclude certification of this issue. Requiring every class member to have suffered a non-zero monetary loss as a precondition to granting a s. 172(3)(a) restoration order on a class-wide basis is contrary to the consumer-oriented interpretive approach mandated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's goal of facilitating access to justice. Actual entitlement can be determined after the common issues trial as an individual issue and, potentially, pursuant to the aggregate monetary award provisions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has shown some basis in fact to support her contention that entitlement to a s. 172(3)(a) restoration order is a common issue. In the circumstances, I am satisfied that this issue can be litigated on a class-wide basis. As such, it is suitable for certification.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Proposed common issue (f): aggregate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Under common issue (f), the plaintiff proposes that an aggregate monetary award may be available under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That provision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29(1) The court may make an order for an aggregate monetary award in respect of all or any part of a defendant's liability to class members and may give judgment accordingly if</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monetary relief is claimed on behalf of some or all class members,</w:t>
      </w:r>
    </w:p>
    <w:p>
      <w:pPr>
        <w:numPr>
          <w:numId w:val="10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questions of fact or law other than those relating to the assessment of monetary relief remain to be determined in order to establish the amount of the defendant's monetary liability,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aggregate or a part of the defendant's liability to some or all class members can reasonably be determined without proof by individual class members.</w:t>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making an order under subsection (1), the court must provide the defendant with an opportunity to make submissions to the court in respect of any matter touching on the proposed order including, without limitation,</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that contest the merits or amount of an award under that subsection,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that individual proof of monetary relief is required due to the individual nature of the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Supreme Court of Canada has held that s. 29 cannot be used to establish liability; that is, aggregate damage provisions relate solely to the remedy available and are procedural in nature. An aggregate monetary award can only be granted after a finding of liability has been made: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131-134. At the certification stage, aggregate assessment may be certified only if resolving the other certifiable common issues could be determinative of monetary liability: </w:t>
      </w:r>
      <w:r>
        <w:rPr>
          <w:rFonts w:ascii="arial" w:eastAsia="arial" w:hAnsi="arial" w:cs="arial"/>
          <w:i/>
          <w:color w:val="000000"/>
          <w:sz w:val="20"/>
          <w:lang w:val="en-US" w:eastAsia="en-US" w:bidi="ar-SA"/>
        </w:rPr>
        <w:t>Fulawka v. Bank of Nova Scotia</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2012 ONCA 443</w:t>
        </w:r>
      </w:hyperlink>
      <w:r>
        <w:rPr>
          <w:rFonts w:ascii="arial" w:eastAsia="arial" w:hAnsi="arial" w:cs="arial"/>
          <w:color w:val="000000"/>
          <w:sz w:val="20"/>
          <w:lang w:val="en-US" w:eastAsia="en-US" w:bidi="ar-SA"/>
        </w:rPr>
        <w:t xml:space="preserve"> at para. 139, leave to appeal to S.C.C. refused 2013 CanLII 14307, </w:t>
      </w:r>
      <w:hyperlink r:id="rId981" w:history="1">
        <w:r>
          <w:rPr>
            <w:rFonts w:ascii="arial" w:eastAsia="arial" w:hAnsi="arial" w:cs="arial"/>
            <w:i/>
            <w:color w:val="0077CC"/>
            <w:sz w:val="20"/>
            <w:u w:val="single"/>
            <w:shd w:val="clear" w:color="auto" w:fill="FFFFFF"/>
            <w:lang w:val="en-US" w:eastAsia="en-US" w:bidi="ar-SA"/>
          </w:rPr>
          <w:t>[2012] S.C.C.A. No. 326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fact that not all class members may have actually suffered a financial loss does not mean that s. 29(1) is not capable of being satisfied: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 133. Subsection 29(1) requires only proof of the aggregate or a part of the defendant's liability,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the entitlement of individual class members. Indeed, s. 31(1) allows the court to order that an aggregate award be shared on an average of proportional basis in certain circumstances regardless of actual individual entitlement. Section 32 allows for individual claims to give effect to distribution of an aggregate monetary award on an individual basis. These sections contemplate that an aggregate award will be appropriate "notwithstanding that identifying the individual class members entitled to damages and determining the amount cannot be done except on a case-by-case basis": </w:t>
      </w:r>
      <w:r>
        <w:rPr>
          <w:rFonts w:ascii="arial" w:eastAsia="arial" w:hAnsi="arial" w:cs="arial"/>
          <w:i/>
          <w:color w:val="000000"/>
          <w:sz w:val="20"/>
          <w:lang w:val="en-US" w:eastAsia="en-US" w:bidi="ar-SA"/>
        </w:rPr>
        <w:t>Markson v. MBNA Canada Bank</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2007 ONCA 334</w:t>
        </w:r>
      </w:hyperlink>
      <w:r>
        <w:rPr>
          <w:rFonts w:ascii="arial" w:eastAsia="arial" w:hAnsi="arial" w:cs="arial"/>
          <w:color w:val="000000"/>
          <w:sz w:val="20"/>
          <w:lang w:val="en-US" w:eastAsia="en-US" w:bidi="ar-SA"/>
        </w:rPr>
        <w:t xml:space="preserve"> at para. 48, leave to appeal to S.C.C. refused, </w:t>
      </w:r>
      <w:hyperlink r:id="rId983" w:history="1">
        <w:r>
          <w:rPr>
            <w:rFonts w:ascii="arial" w:eastAsia="arial" w:hAnsi="arial" w:cs="arial"/>
            <w:i/>
            <w:color w:val="0077CC"/>
            <w:sz w:val="20"/>
            <w:u w:val="single"/>
            <w:shd w:val="clear" w:color="auto" w:fill="FFFFFF"/>
            <w:lang w:val="en-US" w:eastAsia="en-US" w:bidi="ar-SA"/>
          </w:rPr>
          <w:t>[2007] S.C.C.A. No. 346</w:t>
        </w:r>
      </w:hyperlink>
      <w:r>
        <w:rPr>
          <w:rFonts w:ascii="arial" w:eastAsia="arial" w:hAnsi="arial" w:cs="arial"/>
          <w:color w:val="000000"/>
          <w:sz w:val="20"/>
          <w:lang w:val="en-US" w:eastAsia="en-US" w:bidi="ar-SA"/>
        </w:rPr>
        <w:t>, [2007] 3 S.C.R. xii.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Where an aggregate monetary award is not certified as a common issue, that in itself is not a bar to certification of the class action; if liability is established individual assessments of damage are permissible: </w:t>
      </w:r>
      <w:r>
        <w:rPr>
          <w:rFonts w:ascii="arial" w:eastAsia="arial" w:hAnsi="arial" w:cs="arial"/>
          <w:i/>
          <w:color w:val="000000"/>
          <w:sz w:val="20"/>
          <w:lang w:val="en-US" w:eastAsia="en-US" w:bidi="ar-SA"/>
        </w:rPr>
        <w:t>Watson v. Bank of America</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 174. Whether or not the aggregate damages methodology is certified, the definitive decision on the utility of this method is made at the common issues trial once liability is found: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Paragraph 29(1)(c)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an aggregate monetary award to be reasonably determinable without proof by individual class members. This has been interpreted to mean that in order for certification of a common issue on an aggregate monetary award there must be a "credible or plausible" expert methodology to assess the extent of the award: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Supreme Court of Canada adopted the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standard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adding that the methodology must offer a real prospect that loss can be established on a class-wide basis and that the methodology must be grounded in the specific facts of the case (para. 118). I note that both cases dealt with "pass-through" of overcharges to indirect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At this point, I refer to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in respect to methodology. In that case significant time was focussed on methodology in regard to quantification of the effects of price fixing on the end consumer. It was clear that the analysis included tracking multiple products, multiple channels, and multiple layers of transactions to get to the effects on end consumers. There were issues with respect to the availability of data. The task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was, in my view, much more complex and challenging than in the present case; yet what was proposed, with all of the limitations identified, was held to be sufficient at the certification stage. I use this as a guide in approaching aggregate assessment methodology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also note that the ultimate criterion for the availability of an aggregate damage award is whether the defendant's liability can be </w:t>
      </w:r>
      <w:r>
        <w:rPr>
          <w:rFonts w:ascii="arial" w:eastAsia="arial" w:hAnsi="arial" w:cs="arial"/>
          <w:color w:val="000000"/>
          <w:sz w:val="20"/>
          <w:u w:val="single"/>
          <w:lang w:val="en-US" w:eastAsia="en-US" w:bidi="ar-SA"/>
        </w:rPr>
        <w:t>reasonably</w:t>
      </w:r>
      <w:r>
        <w:rPr>
          <w:rFonts w:ascii="arial" w:eastAsia="arial" w:hAnsi="arial" w:cs="arial"/>
          <w:color w:val="000000"/>
          <w:sz w:val="20"/>
          <w:lang w:val="en-US" w:eastAsia="en-US" w:bidi="ar-SA"/>
        </w:rPr>
        <w:t xml:space="preserve"> determined without proof by individual class members, not whether the defendant's liability can be assessed with the same degree of accuracy as in an individual action. By focusing on reasonableness,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strikes a balance between accuracy and access to justice that is "tilted ... in favour of access to justice": </w:t>
      </w:r>
      <w:r>
        <w:rPr>
          <w:rFonts w:ascii="arial" w:eastAsia="arial" w:hAnsi="arial" w:cs="arial"/>
          <w:i/>
          <w:color w:val="000000"/>
          <w:sz w:val="20"/>
          <w:lang w:val="en-US" w:eastAsia="en-US" w:bidi="ar-SA"/>
        </w:rPr>
        <w:t>Ramdath v. George Brown College</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2014 ONSC 3066</w:t>
        </w:r>
      </w:hyperlink>
      <w:r>
        <w:rPr>
          <w:rFonts w:ascii="arial" w:eastAsia="arial" w:hAnsi="arial" w:cs="arial"/>
          <w:color w:val="000000"/>
          <w:sz w:val="20"/>
          <w:lang w:val="en-US" w:eastAsia="en-US" w:bidi="ar-SA"/>
        </w:rPr>
        <w:t xml:space="preserve">, rev'd in part </w:t>
      </w:r>
      <w:hyperlink r:id="rId986" w:history="1">
        <w:r>
          <w:rPr>
            <w:rFonts w:ascii="arial" w:eastAsia="arial" w:hAnsi="arial" w:cs="arial"/>
            <w:i/>
            <w:color w:val="0077CC"/>
            <w:sz w:val="20"/>
            <w:u w:val="single"/>
            <w:shd w:val="clear" w:color="auto" w:fill="FFFFFF"/>
            <w:lang w:val="en-US" w:eastAsia="en-US" w:bidi="ar-SA"/>
          </w:rPr>
          <w:t>2015 ONCA 921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Ramdath</w:t>
      </w:r>
      <w:r>
        <w:rPr>
          <w:rFonts w:ascii="arial" w:eastAsia="arial" w:hAnsi="arial" w:cs="arial"/>
          <w:color w:val="000000"/>
          <w:sz w:val="20"/>
          <w:lang w:val="en-US" w:eastAsia="en-US" w:bidi="ar-SA"/>
        </w:rPr>
        <w:t>, the application judge identified three factors relevant to determining whether an aggregate assessment can be reasonably made. These factors were adopted and restated by the Ontario Court of Appeal in that case as follows (at para. 76):</w:t>
      </w:r>
      <w:r>
        <w:rPr>
          <w:rFonts w:ascii="arial" w:eastAsia="arial" w:hAnsi="arial" w:cs="arial"/>
          <w:sz w:val="20"/>
          <w:lang w:val="en-US" w:eastAsia="en-US" w:bidi="ar-SA"/>
        </w:rPr>
        <w:cr/>
      </w:r>
    </w:p>
    <w:p>
      <w:pPr>
        <w:numPr>
          <w:numId w:val="10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non-individualized evidence presented by the plaintiff is sufficiently reliable;</w:t>
      </w:r>
    </w:p>
    <w:p>
      <w:pPr>
        <w:numPr>
          <w:numId w:val="10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use of the evidence will result in unfairness or injustice to the defendant, such as overstatement of its liability; and</w:t>
      </w:r>
    </w:p>
    <w:p>
      <w:pPr>
        <w:numPr>
          <w:numId w:val="1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denial of an aggregate approach will result in a "wrong eluding an effective remedy" and a denial of access to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relies on the reports of Dr. Ruben Zamar, a professor of Statistics at the University of British Columbia as well as a submission by counsel. The first report from Dr. Zamar was written in January 2013 ("Zamar #1"). Dr. Zamar opined that "the class total aggregate damages and individual damages can be accurately estimated from the data which I assume will be available, using well established statistical estimation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method that Dr. Zamar proposed is described as follows at p. 2-3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wish to develop a statistical procedure to estimate the </w:t>
      </w:r>
      <w:r>
        <w:rPr>
          <w:rFonts w:ascii="arial" w:eastAsia="arial" w:hAnsi="arial" w:cs="arial"/>
          <w:i/>
          <w:color w:val="000000"/>
          <w:sz w:val="20"/>
          <w:lang w:val="en-US" w:eastAsia="en-US" w:bidi="ar-SA"/>
        </w:rPr>
        <w:t>monthly average number of minutes overcharged</w:t>
      </w:r>
      <w:r>
        <w:rPr>
          <w:rFonts w:ascii="arial" w:eastAsia="arial" w:hAnsi="arial" w:cs="arial"/>
          <w:color w:val="000000"/>
          <w:sz w:val="20"/>
          <w:lang w:val="en-US" w:eastAsia="en-US" w:bidi="ar-SA"/>
        </w:rPr>
        <w:t xml:space="preserve"> to a customer, based on the </w:t>
      </w:r>
      <w:r>
        <w:rPr>
          <w:rFonts w:ascii="arial" w:eastAsia="arial" w:hAnsi="arial" w:cs="arial"/>
          <w:i/>
          <w:color w:val="000000"/>
          <w:sz w:val="20"/>
          <w:lang w:val="en-US" w:eastAsia="en-US" w:bidi="ar-SA"/>
        </w:rPr>
        <w:t>monthly average number of minutes actually charged</w:t>
      </w:r>
      <w:r>
        <w:rPr>
          <w:rFonts w:ascii="arial" w:eastAsia="arial" w:hAnsi="arial" w:cs="arial"/>
          <w:color w:val="000000"/>
          <w:sz w:val="20"/>
          <w:lang w:val="en-US" w:eastAsia="en-US" w:bidi="ar-SA"/>
        </w:rPr>
        <w:t xml:space="preserve"> to that customer. This figure will then be used as the basis for calculating the estimated amount of money overcharged by Telus to that customer as well as other possible associated financial loses such as buying a Telus plan larger than actually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Telus records I will first calculate for </w:t>
      </w:r>
      <w:r>
        <w:rPr>
          <w:rFonts w:ascii="arial" w:eastAsia="arial" w:hAnsi="arial" w:cs="arial"/>
          <w:i/>
          <w:color w:val="000000"/>
          <w:sz w:val="20"/>
          <w:lang w:val="en-US" w:eastAsia="en-US" w:bidi="ar-SA"/>
        </w:rPr>
        <w:t>all and each</w:t>
      </w:r>
      <w:r>
        <w:rPr>
          <w:rFonts w:ascii="arial" w:eastAsia="arial" w:hAnsi="arial" w:cs="arial"/>
          <w:color w:val="000000"/>
          <w:sz w:val="20"/>
          <w:lang w:val="en-US" w:eastAsia="en-US" w:bidi="ar-SA"/>
        </w:rPr>
        <w:t xml:space="preserve"> the involved customers, the monthly average number of minutes charged by the company to these customers. Second, I will draw a </w:t>
      </w:r>
      <w:r>
        <w:rPr>
          <w:rFonts w:ascii="arial" w:eastAsia="arial" w:hAnsi="arial" w:cs="arial"/>
          <w:i/>
          <w:color w:val="000000"/>
          <w:sz w:val="20"/>
          <w:lang w:val="en-US" w:eastAsia="en-US" w:bidi="ar-SA"/>
        </w:rPr>
        <w:t>random sample</w:t>
      </w:r>
      <w:r>
        <w:rPr>
          <w:rFonts w:ascii="arial" w:eastAsia="arial" w:hAnsi="arial" w:cs="arial"/>
          <w:color w:val="000000"/>
          <w:sz w:val="20"/>
          <w:lang w:val="en-US" w:eastAsia="en-US" w:bidi="ar-SA"/>
        </w:rPr>
        <w:t xml:space="preserve"> of customers and I will calculate the monthly average number of minutes overcharged by Telus to the customer in this sample. Using these data, I will apply statistical procedures to estimate the monthly average number of minute overcharged by Telus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involved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precisely, I will use a statistical model (fully described below) that will take into account the different Telus plans, other customer significant features and the natural customer to customer variability. The input for this statistical procedure will be the customer specific Telus plan, the monthly average number of minutes actually charged to that customer (computed, as mentioned above, from the records in the customer's Telus account). The output of the statistical procedures will be the estimated monthly average number of minutes overcharged to each of the involved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methodology proposed in Zamar #1 was criticized by economist Dr. Christian Dippon in an expert report from March 2013 ("Dippon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that report, Dr. Dippon identifies a number of flaws in the methodology proposed in Zamar #1. Dr. Dippon argues: the methodology does not account for how overcharged minutes will be converted into a monetary award; most TELUS rate plans charge by the minute, meaning overcharges for the System Setup Time do not always affect the billing; many post-paid customers overestimate the amount of minutes needed per month and are therefore unaffected by any overcharge; there is evidence of many customers negotiating with TELUS for reductions for overcharge amounts; during the Class Period there were approximately 5,200 different rate plans offered by TELUS, combined with 30 different calling features, making it unfeasible and inaccurate to extrapolate average overcharges to all TELUS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Most problematic in assessing the methodology outlined in Zamar #1 is that the data necessary for this methodology is unavailable. While the CDR data necessary for the calculation of the System Set-Up Time exists, the Class Period ended in 2010, well outside the 14-month period that TELUS stores CDRs. In Dippon #1, the availability of the relevant data is explained to be critical as more recent data does not provide an adequate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respect to the methodology in Zamar #1, Mr. Nav Sahi, Director Information Systems Service Development and Billings at TELUS, deposed that Telus does not have a "list of all possible affected customers and their breakdown by 'plan'" as assumed by Dr. Zamar. He deposed that the creation of such a list may be possible, but that it would be a "complicated, potentially costly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Sahi stated that the charges to a TELUS customer are determined by the customer's rate plan, features, pre-paid versus post-paid status, and promotions. Mr. Sahi stated that "in order to determine what Discounts were offered and their value would require a manual review of specific customer account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Sahi also deposed that customer invoices are only kept for seven years. At the time of his affidavit, records were only kept back to approximately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consideration of the limitations of the methodology in Zamar #1, Dr. Zamar proposed another methodology for assessing an aggregate monetary award in a second expert report dated May 2014 ("Zamar #2"). In this regard, Dr. Zamar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first report assumed the existence and availability of individual data pertaining to the affected customers and discussed the estimation of the "call set-up time" that was applied to incoming calls. The methodology outlined in my first report shows how Statistics may be used to estimate the call set-up time without having to conduct a detailed examination of all the affected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Dippon's report, commenting on mine, mentions that the data required to perform the estimation outlined in my first report do not exist or are not accessible. In view of that, I was asked by counsel to consider possible alternative approaches for estimation of the monetary damage caused by the application of the call set up time to incoming calls, using "aggregated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Zamar #2, Dr. Zamar contemplates a method that involves five data variables: average call Setup Time; average call length, excluding System Setup Time; included "bucket of minutes"; the number of used and excess minutes; and the cost per minute. All of these variables must be present in a given time period to accurately estimate damages. Dr. Zamar provided mathematic formulations and several examples of the operation of his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Sahi swore another affidavit in June 2014 following the plaintiff's application for production of documents relevant to the criteria listed in Zamar #2. Mr. Sahi stated that as far as he knew, TELUS never calculated call set-up time and that it was "very unlikely" that he would not have been aware of reports containing aggregate call set-up time data had they been generated. Mr. Sahi deposed that call set-up time could be manually calculated from unprocessed CDRs, but not from CDR content transferred to KNOWbility.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Sahi also said that TELUS does not specifically measure or track call length excluding call set-up time. Again, that information could be manually calculated from unprocessed CDRs.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Sahi was unable to confirm whether TELUS has documents containing other aggregate data mentioned in Zamar #2, but deposed that searching for these documents would be a "lengthy process, likely involving more than a hundred TELUS employees, expending many hundreds of hours over and above their regular work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Dippon responded to Zamar #2 in a second expert report dated July 2014 ("Dippon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Dippon #2 points to several deficiencies with Dr. Zamar's new methodology, including that once again there is no accounting for the numerous TELUS customers who would not have suffered any loss. Further, as with the methodology in Zamar #1, the new method relies on accessing data from CDRs that TELUS no longer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requirement that all five variables be assessed for a given time period in the new methodology means it is unworkable without the ability to calculate the average System Setup Time during the Class Period; as Dr. Dippon notes in Dippon #1 and Dippon #2, the necessary data for this calculation served no practical business purpose for TELUS and was only stored for 14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appears to have recognized limitations in these proposed methods for assessing aggregate damages as no mention was made of either of Dr. Zamar's reports by plaintiff's counsel in oral argument. In the plaintiff's reply submissions she proposed a further another methodology, the "New New" approach. This methodology looks at the buckets of minutes purchased by TELUS customers as an asset; the amount of System Setup Time depleted those minutes and as a result the consumer received less out of the "bucket of minutes" than bargained for. In other words, it is argued, the consumer paid too much for that asset. The consumer's loss would equal the proportion of the total cost of the bucket of minutes used up by the System Setup Time. It is submitted that "sampling and statistics" could be used to determine average call setup time and average call length to determine the consumer's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 note first that the assessment of expert evidence at the certification stage is not to be done in a rigorous or robust manner as would be expected at a common issues trial: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at para. 66;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119. The standard for accepting a proposed methodology is low in part because class action plaintiffs do not have the benefit of exhaustive pre-certification discovery: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119. As our Court of Appeal held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the absence of thorough discovery is an important aspect in assessing an expert's proposed methodology. In that case the Court of Appeal found that it was unfair to hold experts to too high of a standard given the paucity of factual evidence available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my view, the plaintiff's proposed methodology for assessing an aggregate monetary award is sufficient to meet the low threshold at the certification stage. As our Court of Appeal noted in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the evidence necessary to overcome the methodology hurdle will vary depending on the factual scenario; at the certification stage, however, the method need not be a "gold standard"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It is true that the defendant identifies intelligible concerns with the plaintiff's New New methodology. One such hurdle is how the relevant data would be effectively extrapolated to account for the multitude of rate plans and calling features that existed during the Class Period; in her submissions the plaintiff simply refers to the use of "sampling and statistics" without further comment. However, the plaintiff is not an expert in this field and Dr. Zamar's reports have at least identified relevant data variables on which such a methodology could be founded. It may be that at a common issues trial Dr. Dippon's concerns with the approach of Dr. Zamar and the plaintiff are held to be cogent; it is not, however, the role of the court at the certification stage to definitively resolve conflicts between experts: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A final concern with the plaintiff's methodologies is that it fails to account for exactly how information necessary for the New New methodology will be calculated given the relevant data for the Class Period is no longer stored by TELUS and therefore inaccessible. This was an issue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where the Supreme Court held at para. 118: "There must be some evidence of the availability of the data to which the methodology is to be applied." The plaintiff, however, has asserted that even if this data is unavailable extrapolations can be made from more recent information. I accept that extrapolation from recent or available data may be a suitable proxy for unavailable historical data. This is particularly true in the class action context where, as here, denying the plaintiff the opportunity to extrapolate from recent data may lead to a "wrong eluding an effective remedy". The balance struck by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may well favour permitting the plaintiff to extrapolate from recent data even though it may not achieve the accuracy that would be demanded at an individual trial. At the least, the plaintiff has satisfied me that it is a credible or plausible approach for the purposes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also note that not even Mr. Sahi could say that certain data was unavailable. He merely deposed that searching for or compiling it would be a lengthy, expensive process. That may be; however, as the Ontario Court of Appeal noted in </w:t>
      </w:r>
      <w:r>
        <w:rPr>
          <w:rFonts w:ascii="arial" w:eastAsia="arial" w:hAnsi="arial" w:cs="arial"/>
          <w:i/>
          <w:color w:val="000000"/>
          <w:sz w:val="20"/>
          <w:lang w:val="en-US" w:eastAsia="en-US" w:bidi="ar-SA"/>
        </w:rPr>
        <w:t>Cassano v. The Toronto-Dominion Bank</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2007 ONCA 781</w:t>
        </w:r>
      </w:hyperlink>
      <w:r>
        <w:rPr>
          <w:rFonts w:ascii="arial" w:eastAsia="arial" w:hAnsi="arial" w:cs="arial"/>
          <w:color w:val="000000"/>
          <w:sz w:val="20"/>
          <w:lang w:val="en-US" w:eastAsia="en-US" w:bidi="ar-SA"/>
        </w:rPr>
        <w:t xml:space="preserve"> at para. 49, leave to appeal to S.C.C. refused, </w:t>
      </w:r>
      <w:hyperlink r:id="rId989" w:history="1">
        <w:r>
          <w:rPr>
            <w:rFonts w:ascii="arial" w:eastAsia="arial" w:hAnsi="arial" w:cs="arial"/>
            <w:i/>
            <w:color w:val="0077CC"/>
            <w:sz w:val="20"/>
            <w:u w:val="single"/>
            <w:shd w:val="clear" w:color="auto" w:fill="FFFFFF"/>
            <w:lang w:val="en-US" w:eastAsia="en-US" w:bidi="ar-SA"/>
          </w:rPr>
          <w:t>[2008] S.C.C.A. No. 15</w:t>
        </w:r>
      </w:hyperlink>
      <w:r>
        <w:rPr>
          <w:rFonts w:ascii="arial" w:eastAsia="arial" w:hAnsi="arial" w:cs="arial"/>
          <w:color w:val="000000"/>
          <w:sz w:val="20"/>
          <w:lang w:val="en-US" w:eastAsia="en-US" w:bidi="ar-SA"/>
        </w:rPr>
        <w:t>, [2008] 1 S.C.R. xiv, "[i]t would hardly be sound policy to permit a defendant to retain a gain made from a breach of contract because the defendant estimates its costs of calculating the amount of the gain to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Given the determination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that the standard for accepting a proposed methodology at the certification stage is a "low threshold" it would be premature to reject the plaintiff's methods for calculating an aggregate monetary award. As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there are similar concerns with "information asymmetry" between the plaintiff and the defendant in the present matter. This is reflected by the evolution of the plaintiff's approaches as she learned what was and what was not available. It would be unfair to the plaintiff to deny her the ability to modify her proposed methodology as new information comes to light. I would also reiterate that a certification of the plaintiff's methodology does not preclude the common issues judge from rejecting an aggregate damages award at trial in favour of another more appropriate remedy: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Having considered Dr. Zamar's two reports and the New New methodology, I am satisfied that the plaintiff has shown that there is a reasonable prospect that the aggregate damage provisions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can be satisfied. Accordingly, this issue is suitable for certification.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Proposed common issues (g)-(i): 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proposed common issues (g), (h) and (i) all go to the plaintiff's assertion of spoliation of relevant evidence, specifically the caller data from the Class Period, by TELUS. The defendant argues that spoliation of evidence is not an appropriate cause of action; rather it is a procedural or evidentiary doctrine. The defendant also says that the allegations are not common issues as defined in s.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because they are not based on any facts material to her legal claims. Finally, the defendant submits that the plaintiff has not established any evidentiary basis to support the application of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This Court has previously held that an inference of spoliation cannot be drawn absent some evidence that the decision to destroy the relevant documents or records was done in bad faith: </w:t>
      </w:r>
      <w:r>
        <w:rPr>
          <w:rFonts w:ascii="arial" w:eastAsia="arial" w:hAnsi="arial" w:cs="arial"/>
          <w:i/>
          <w:color w:val="000000"/>
          <w:sz w:val="20"/>
          <w:lang w:val="en-US" w:eastAsia="en-US" w:bidi="ar-SA"/>
        </w:rPr>
        <w:t>Hartt v. British Columbia (Attorney General)</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2013 BCSC 264</w:t>
        </w:r>
      </w:hyperlink>
      <w:r>
        <w:rPr>
          <w:rFonts w:ascii="arial" w:eastAsia="arial" w:hAnsi="arial" w:cs="arial"/>
          <w:color w:val="000000"/>
          <w:sz w:val="20"/>
          <w:lang w:val="en-US" w:eastAsia="en-US" w:bidi="ar-SA"/>
        </w:rPr>
        <w:t xml:space="preserve"> at paras. 83-84;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(1995), 15 B.C.L.R. (3d) 240</w:t>
        </w:r>
      </w:hyperlink>
      <w:r>
        <w:rPr>
          <w:rFonts w:ascii="arial" w:eastAsia="arial" w:hAnsi="arial" w:cs="arial"/>
          <w:color w:val="000000"/>
          <w:sz w:val="20"/>
          <w:lang w:val="en-US" w:eastAsia="en-US" w:bidi="ar-SA"/>
        </w:rPr>
        <w:t xml:space="preserve"> (S.C.), aff'd </w:t>
      </w:r>
      <w:hyperlink r:id="rId992"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leave to appeal to S.C.C. refused (2000), </w:t>
      </w:r>
      <w:hyperlink r:id="rId993" w:history="1">
        <w:r>
          <w:rPr>
            <w:rFonts w:ascii="arial" w:eastAsia="arial" w:hAnsi="arial" w:cs="arial"/>
            <w:i/>
            <w:color w:val="0077CC"/>
            <w:sz w:val="20"/>
            <w:u w:val="single"/>
            <w:shd w:val="clear" w:color="auto" w:fill="FFFFFF"/>
            <w:lang w:val="en-US" w:eastAsia="en-US" w:bidi="ar-SA"/>
          </w:rPr>
          <w:t>[1999] S.C.C.A. No. 347</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143 B.C.A.C. 222</w:t>
        </w:r>
      </w:hyperlink>
      <w:r>
        <w:rPr>
          <w:rFonts w:ascii="arial" w:eastAsia="arial" w:hAnsi="arial" w:cs="arial"/>
          <w:color w:val="000000"/>
          <w:sz w:val="20"/>
          <w:lang w:val="en-US" w:eastAsia="en-US" w:bidi="ar-SA"/>
        </w:rPr>
        <w:t>. The plaintiff has provided no such evidence of bad faith and the explanation by TELUS of the burden of record keeping over a decade's worth of phone records is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the plaintiff has not shown some basis in fact that (g), (h) and (i) are common issues, these issues are not certified.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a class proceeding preferable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Section 4(1)(d)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states that the court must determine whether a class proceeding would be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preferability analysis should be conducted through the lens of the three principal advantages of class actions: judicial economy, access to justice, and behaviour modification: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test for preferability is twofold: first, a court must assess whether the class action would be a fair, efficient and manageable method of advancing the claim; second, the court must determine whether the class action would be preferable to other reasonably available means of resolving the claims of class members: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27-28; </w:t>
      </w:r>
      <w:r>
        <w:rPr>
          <w:rFonts w:ascii="arial" w:eastAsia="arial" w:hAnsi="arial" w:cs="arial"/>
          <w:i/>
          <w:color w:val="000000"/>
          <w:sz w:val="20"/>
          <w:lang w:val="en-US" w:eastAsia="en-US" w:bidi="ar-SA"/>
        </w:rPr>
        <w:t>Knight CA</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AIC Limited v. Fisher</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 Cromwell J., for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order to determine whether a class proceeding would be the preferable procedure for the "resolution of the common issues", those common issues must be considered in the context of the action as a whole and "must take into account the importance of the common issues in relation to the claims as a whole":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30. McLachlin C.J.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accepted the words of a commentator to the effect that in comparing possible alternatives with the proposed class proceeding, "it is important to adopt a practical cost-benefit approach to this procedural issue, and to consider the impact of a class proceeding on class members, the defendants, and the court": para. 29, citing W.K. Branch, </w:t>
      </w:r>
      <w:r>
        <w:rPr>
          <w:rFonts w:ascii="arial" w:eastAsia="arial" w:hAnsi="arial" w:cs="arial"/>
          <w:i/>
          <w:color w:val="000000"/>
          <w:sz w:val="20"/>
          <w:lang w:val="en-US" w:eastAsia="en-US" w:bidi="ar-SA"/>
        </w:rPr>
        <w:t>Class Actions in Canada</w:t>
      </w:r>
      <w:r>
        <w:rPr>
          <w:rFonts w:ascii="arial" w:eastAsia="arial" w:hAnsi="arial" w:cs="arial"/>
          <w:color w:val="000000"/>
          <w:sz w:val="20"/>
          <w:lang w:val="en-US" w:eastAsia="en-US" w:bidi="ar-SA"/>
        </w:rPr>
        <w:t xml:space="preserve"> (loose-leaf 1998, release 4), at para. 4.690.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identifies specific criteria that must be considered in assessing preferability:</w:t>
      </w:r>
      <w:r>
        <w:rPr>
          <w:rFonts w:ascii="arial" w:eastAsia="arial" w:hAnsi="arial" w:cs="arial"/>
          <w:sz w:val="20"/>
          <w:lang w:val="en-US" w:eastAsia="en-US" w:bidi="ar-SA"/>
        </w:rPr>
        <w:cr/>
      </w:r>
    </w:p>
    <w:p>
      <w:pPr>
        <w:numPr>
          <w:numId w:val="1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plaintiff says that a class action in this instance is the preferable procedure as it meets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access to justice, judicial economy, and modification of behaviour. According to the plaintiff, requiring these common issues be dealt with on an individual basis detracts from these goals as individual litigants lack the requisite resources and the claims individually are quite small. Even though TELUS has modified its behaviour in this matter, the plaintiff submits that the goal of behaviour modification can still be met in deterring other companies from similar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asserts that issues that have previously arisen in the context of misrepresentation class actions are not present in this matter. Even though there are a number of different written communications from TELUS at issue, the plaintiff says that the overarching content of the misrepresentations was the same. Further, the plaintiff argues that difficulties in assessing damages should not be a bar to bringing the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says that the common issues predominate over the individual issues in this matter as no individual inquiry is necessary to establish the claims put forward by the plaintiff. Further, there have been no individual class members with interest in controlling their own claims nor are there any other proceedings on this issue beyond the proceeding begun by Mr. Karpowitz, which has been stayed pending the outcome in this matter. Finally, the plaintiff asserts that a class proceeding is the best method for resolution of this matter given the high costs associated with litigation and the relatively small size of the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 maintains that a class proceeding is not comparatively or relatively preferable to individual claims. The defendant points to the plaintiff's claims for declaratory relief specifically arguing that whether or not this claim was pursued as a class proceeding it would have the same binding effect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defendant disagrees with the plaintiff's conclusion that there are no outstanding individual inquires to be made, suggesting that the depth of individual inquiry required makes individual actions the preferable course for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individual nature of the losses to each TELUS customer during the Class Period is also cited by the defendant as a primary reason why individual actions are preferable to a class proceeding. TELUS estimates that the class size is in the "multiple millions"; if any individual inquiry is necessary the defendant suggests it makes the class action not only not preferable but wholly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am persuaded by the plaintiff's arguments favouring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 class proceeding would be fair, efficient, and manageable. Access to justice strongly favours a class proceeding, as it is unlikely that many plaintiffs would be able to bring individual claims given the small amount of their losses. The common issues are at the heart of what is truly in dispute and clearly predominate over individual issues. Indeed, resolution of the common issues will likely determine the defendant's liability. Any individual inquiries can be dealt with effectively should the applicant succeed at the common issues trial. The small monetary nature of the claims means that few if any class members have a valid interest in individually prosecuting separate actions, and the claims here have been the subject of only one other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am also of the view that a class proceeding is comparatively preferable to all other means of resolving the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conclude that a class proceeding is the preferable procedure for the resolution of the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 the representative plaintiff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says that she is qualified to be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defendant submits that Ms. Seidel is not qualified on the basis that the transaction in which she entered with TELUS was not a consumer transaction and therefore she is not a consumer as defined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defendant points to the admissions of Ms. Seidel in her cross examination that she purchased the service for business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in response points out that Ms. Seidel deposed that she used her TELUS phone for purely personal purposes from January 2002 to May or June 2003. After that she has deposed that she used her phone for business purposes 20% - 50% of the time. After January 2005, she used it for business purposes approximately 75% - 95%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It is apparent that Ms. Seidel was a consumer for at least a portion of the Class Period. This gives her a sufficient common interest with the class members. Statements in her affidavits show that she has the motivation and ability to pursue the action for the class members' mutual benefit. As such, I find that she will "vigorously and capably prosecute the interests of the class":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fact that she was not a "consumer" for some or most of the class period is not fatal. A representative plaintiff need not be typical of the class, nor the best possible representative: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41. In my view, this means that a representative plaintiff does not need to have had a cause of action for the entire Class Period. In the circumstances, given Ms. Seidel's other qualifications, I find that Ms. Seidel is an appropriate class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application for certification is granted in part, subject to the applicant amending her proposed class definition regarding prepaid customers and amending her pleadings to conform with her position that she is not relying on any oral representations made by individuals on behalf of TELUS or its representatives or retailers, or any implied terms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following are certified as common issues: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period of January 21, 1999 to April 2010 (the "Material Time"), were the Defendant's representations to the Class Plaintiffs in relation to how they would be charged for incoming calls such that they constituted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Material Time, was the Defendant's billing practice in relation to incoming calls an "unconscionable act or practice"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Material Time, were the Defendant's representations to the Class Plaintiffs in relation to how they would be charged for incoming calls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Defendant's billing practice or representations respecting incoming calls during the Material Time were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were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are the representative plaintiff and other members of the class entitled to:</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declaratory order under s. 172(1)(a) to the effect that the Defendant has engaged in an act or practice that contravenes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 172(3)(a) compelling the Defendant to restore the monies improperly paid as a result of the act or practice?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Defendant's billing practice or representations respecting incoming calls during the Material Time were deceptive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or were unconscionable acts or practices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can an aggregate monetary award be made for the benefit of all class members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If so, what is the amount of the aggregate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Seidel is appointed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Sime v. Jupp, [2009] B.C.J. No. 1690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 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12351 and 12394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C.C.E.L. (3d)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409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Fiona Jane Sime, Plaintiff, and Rose Marie Jupp, Edie Lowes, Tracey Stehle, and Okanagan College, Defendants And between Fiona Jane Sime, Plaintiff, and Marlene Isaac, Steve Koehle, and Okanagan College,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7"/>
      <w:bookmarkEnd w:id="252"/>
      <w:r>
        <w:rPr>
          <w:rFonts w:ascii="arial" w:eastAsia="arial" w:hAnsi="arial" w:cs="arial"/>
          <w:b/>
          <w:color w:val="000000"/>
          <w:sz w:val="20"/>
          <w:lang w:val="en-US" w:eastAsia="en-US" w:bidi="ar-SA"/>
        </w:rPr>
        <w:t>Civil litigation — Civil procedure — Pleadings — Striking out pleadings or allegations — Grounds — Res judicata — Applications by the defendants in two actions seeking to dismiss or strike the plaintiff's claims, successful in part — The plaintiff's claims for defamation and invasion of privacy were struck, save for common law allegations of invasion of privacy — Claims in discrimination were dismissed only to the extent that they were related to any alleged disability, as these had been previously determined by the B.C. Human Rights Tribunal — The claims in defamation and those based on the Privacy Act were statute-barred — Her remaining claims, including claims for constructive/wrongful dismissal and deceit, were to be tried together.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Applications by the defendants in two actions seeking to dismiss or strike the plaintiff's claims, successful in part — The plaintiff's claims for defamation and invasion of privacy were struck, save for common law allegations of invasion of privacy — Claims in discrimination were dismissed only to the extent that they were related to any alleged disability, as these had been previously determined by the B.C. Human Rights Tribunal — The claims in defamation and those based on the Privacy Act were statute-barred — Her remaining claims, including claims for constructive/wrongful dismissal and deceit, were to be tried together.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Enforcement and procedure — Civil actions — Applications by the defendants in two actions seeking to dismiss or strike the plaintiff's claims, successful in part — The plaintiff's claims for defamation and invasion of privacy were struck, save for common law allegations of invasion of privacy — Claims in discrimination were dismissed only to the extent that they were related to any alleged disability, as these had been previously determined by the B.C. Human Rights Tribunal — The claims in defamation and those based on the Privacy Act were statute-barred — Her remaining claims, including claims for constructive/wrongful dismissal and deceit, were to be tried together.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Adding or striking out claim — Applications by the defendants in two actions seeking to dismiss or strike the plaintiff's claims, successful in part — The plaintiff's claims for defamation and invasion of privacy were struck, save for common law allegations of invasion of privacy — Claims in discrimination were dismissed only to the extent that they were related to any alleged disability, as these had been previously determined by the B.C. Human Rights Tribunal — The claims in defamation and those based on the Privacy Act were statute-barred — Her remaining claims, including claims for constructive/wrongful dismissal and deceit, were to be tried together.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3" w:name="Case Summary_36"/>
            <w:bookmarkEnd w:id="2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in two actions, seeking to dismiss the plaintiff's claims. In the first action, the plaintiff, a former employee of the defendant Okanagan College, sought damages for defamation and invasion of privacy. In the second, she sought damages for constructive or alternatively wrongful dismissal, deceit, invasion of privacy, and defamation. The applicants sought an order striking the claims of defamation and invasion of privacy in the first action. With respect to the second action, the defendants argued the claims were barred by the expiration of the limitation period and for lack of particulars disclosing a reasonable cause of action. Finally, the applicants sought an order striking the allegations of discrimination in both actions since these had been finally considered and determined in a B.C. Human Rights Tribunal hearing and were res judicata. The plaintiff's last contract with the College ended June 30, 2006.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4" w:name="Holdings of Court_31"/>
            <w:bookmarkEnd w:id="254"/>
            <w:r>
              <w:rPr>
                <w:rFonts w:ascii="arial" w:eastAsia="arial" w:hAnsi="arial" w:cs="arial"/>
                <w:color w:val="000000"/>
                <w:sz w:val="20"/>
                <w:lang w:val="en-US" w:eastAsia="en-US" w:bidi="ar-SA"/>
              </w:rPr>
              <w:t>HELD: Applications successful in part; the remaining claims in both actions were to be tried together.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regard to the second action, the plaintiff's claims in defamation were barred because of expiration of the limitation period. Her claims for damages for invasion of privacy based on the Privacy Act were also barred by the expiration of limitation periods pursuant to the Limitation Act. The plaintiff had not specifically referred to the Act in her claim, and might argue she had suffered damages as a result of the breach of her privacy at common law. Therefore, with regard to the defendants' application in the second action, the plaintiff's claims for damages for defamation and for invasion of privacy to the extent that they were based on the Privacy Act were dismissed. The defendants' application with regard to the first action was also granted with regard to the claims for defamation. The only allegation of defamation in that statement of claim was clearly statute-barred, and was wholly lacking in particulars. Again, the claims under the Privacy Act were statute-barred, although the plaintiff might pursue and common law claims. The B.C. Human Rights Tribunal had not made any decision about the present discrimination allegations. The findings were limited to the conclusion that there was no evidence that anything the College did which adversely affected the plaintiff was due in whole or in part to any disability she might have had. Therefore, save with regard to claims of discrimination against the College based on physical or mental disability, the argument of res judicata could not stand. The defendants were awarded costs on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5" w:name="Legislation Cited_31"/>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18(6),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2(2)(c), s. 3(2)(f), s. 6(3),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6" w:name="Counsel_37"/>
      <w:bookmarkEnd w:id="2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Fiona Jane Sime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Moore.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7"/>
      <w:bookmarkEnd w:id="257"/>
      <w:r>
        <w:pict>
          <v:line id="_x0000_s1224"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R.E. POWERS J."/>
            <w:bookmarkEnd w:id="258"/>
            <w:r>
              <w:rPr>
                <w:rFonts w:ascii="arial" w:eastAsia="arial" w:hAnsi="arial" w:cs="arial"/>
                <w:b/>
                <w:color w:val="000000"/>
                <w:sz w:val="30"/>
                <w:lang w:val="en-US" w:eastAsia="en-US" w:bidi="ar-SA"/>
              </w:rPr>
              <w:t>R.E. 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Sime, claims damages for defamation and invasion of privacy in action number 12351. She was an employee of Okanagan College (the "College"), one of the defendants. The other defendants are or were also employees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action number 12394, Ms. Sime claims damages for constructive or alternatively wrongful dismissal, deceit, invasion of privacy, and defamation. The individual defendants in that action are or were employees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applicants being all of the defendants in both actions seek an order that action number 12351 be dismissed in its entirety because they say the claims are barred by the expiration of the limitation period and lack particulars that would disclose a reasonable cause of action. The applicants also seek an order that the claims of defamation and invasion of privacy in action number 12394 be dismissed or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applicants seek an order that allegations of discrimination in both actions be struck since they have been finally considered and determined in a British Columbia Human Rights Tribunal hearing and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an employee of the College from the years 1995 to 2006. Her last contract with the College ended June 30, 2006. Without making any comment on the merits, it is obvious that there were difficulties between the plaintiff, other employees and some of her supervisors. A complaint about the plaintiff was made to the College and their labour relations division conducted a labour relations investigation. The plaintiff was an employee, but it appears not a member of the union. Therefore, the investigation was pursuant to the College's internal proceedings and not pursuant to a labour relations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believed that she was not treated fairly by the labour relations investigation and disagreed with its results. She also believes that the College failed to take appropriate action after the investigation. She argues that false and defamatory statements had been made about her by the defendants, largely with the knowledge of the College. She also argues that some of the defendants gave false testimony against her in the labour relations investigation and in the subsequent human rights investigation, which she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position with the College was based on a series of fixed term contracts. In the spring of 2006, the College had decided to create a full time non-fixed term position that included the work that the plaintiff had been doing. The job description and eligibility requirements required that the successful applicant have a university degree. The plaintiff did not have a university degree and was not short-listed for the job, although she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subsequently filed a complaint with the Human Rights Commission, which complaint was based on discrimination against her based on physical or mental disability. That complaint was dismissed on a no-evidence application by the College after an eight-day hearing. The parties to that proceeding were the plaintiff and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argued that she read somewhere, she believed on the website of the British Columbia Human Rights Commission or was told by someone, that she could not pursue her complaint before the Human Rights Commission and at the same time sue the defendants. Therefore, she argues the limitation period should not have run against her with regard to the defamation action. She did not understand the distinction between claims for damages for defamation or invasion of privacy and complaints before the Human Rights Commission. She argues that she should not be penalized for that. I note that the College was the only party besides herself to the human rights complaint. Therefore, even if she were correct, there was no reason why she could not have commenced her action against the individual defendants. In addition, the only issue before the Human Rights Commission was whether she had been discriminated against based on mental or physical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also sued by a teacher employed by the College, a Mr. Turner. The suit was commenced in February of 2005 and alleged wrongful dismissal and defamation. The defendants were the College, the plaintiff and a defendant named Kolysher. All of the defendants in that action were represented by the same solicitor; the action was settled although the plaintiff says she disagreed with the settlement. It is alleged that some of the defamatory documents were provided to Mr. Turner's counsel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rely on Rule 18(6)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judgment for defendant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an appearance has been entered, the defendant may, on the ground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further rely on Rule 19(24):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its submissions the defendants argue the following points of law. I quote from page 5, paragraph 18 to 23</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to be applied to determine whether an action may be struck for disclosing no reasonable claim under 19(24)(a) is to consider, assuming that the facts as stated in the statement of claim can be proved, whether it is "plain and obvious" that the Plaintiff's statement of claim discloses no reasonable cause of action. If there is a chance that the Plaintiff might succeed, then the Plaintiff should be allowed to proceed to have the action tried.</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Hunt v. Carey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Madam Justice Garson summarizes the law on Sub-Rules 19(24(b)(c) and (d) and extracts general propositions from the authorities concerning the circumstances under which pleadings will be struck. A pleading will be struck out if:</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w:t>
      </w:r>
      <w:r>
        <w:rPr>
          <w:rFonts w:ascii="arial" w:eastAsia="arial" w:hAnsi="arial" w:cs="arial"/>
          <w:i/>
          <w:color w:val="000000"/>
          <w:sz w:val="20"/>
          <w:lang w:val="en-US" w:eastAsia="en-US" w:bidi="ar-SA"/>
        </w:rPr>
        <w:t>Citizens for Foreign aid Reform</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(Citizens for foreign aid Reform, supra);</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[2000] B.C.J. No. 84</w:t>
        </w:r>
      </w:hyperlink>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i/>
          <w:color w:val="000000"/>
          <w:sz w:val="20"/>
          <w:lang w:val="en-US" w:eastAsia="en-US" w:bidi="ar-SA"/>
        </w:rPr>
        <w:t>Borsato v. Basra, supra</w:t>
      </w: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is brought for an improper purpose, particularly the harassment and oppression of the defendants (Ebrahim v. Ebrahim, </w:t>
      </w:r>
      <w:hyperlink r:id="rId165"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17</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particularize claims in defamation may amount to a failure to disclose a reasonable claim under 19(24)(a). Irrelevant allegations against a defendant may be struck under 19(24)(b) and (c) as unnecessary, scandalous, frivolous or vexatious.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[1992] B.C.J. No. 86</w:t>
        </w:r>
      </w:hyperlink>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 19(24)(d) allows pleadings to be struck where they are an abuse of the process of the court. Abuse of process is a flexible doctrine that allows the court to prevent a claim from proceeding where it "violates such principles as judicial economy, consistency, finality and the integrity of the administration of justice".</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9, citing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(S.C.C.) para. 37</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Claiming the same relief in two separate actions is vexatious and an abuse of process.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Great Pacific Contracting Ltd. V. Harwyn Properties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29 B.C.L.R. 145</w:t>
        </w:r>
      </w:hyperlink>
      <w:r>
        <w:rPr>
          <w:rFonts w:ascii="arial" w:eastAsia="arial" w:hAnsi="arial" w:cs="arial"/>
          <w:color w:val="000000"/>
          <w:sz w:val="20"/>
          <w:lang w:val="en-US" w:eastAsia="en-US" w:bidi="ar-SA"/>
        </w:rPr>
        <w:t>, 21 C.P.C. 280, paras. 11-13</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that are so prolix or confusing that it is difficult, if not impossible, to understand the case to be met should be struck, since they prevent the Defendant from knowing the case it has to meet. Amendment will be permitted for those claims that are capable of being remedied, but proposed claims which are without legal foundation should be dismissed.</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paras. 18, 19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accept those propositions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With regard to Rule 18(6), the defendants argue at paragraph 24 "The test is whether the claim is "bound to fail" for failing to raise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paras. 8, 10-12,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also cite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c. 266, s. 3(2)(c) and (f):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(2) After the expiration of 2 years after the date on which the right to do so arose a person may not bring any of the following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defamation;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tort under 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6(3)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(3) The running of time with respect to the limitation periods set by this Act for any of the following actions is postponed as provided in subsection (4):</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rely on the decision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1999 BCCA 102</w:t>
        </w:r>
      </w:hyperlink>
      <w:r>
        <w:rPr>
          <w:rFonts w:ascii="arial" w:eastAsia="arial" w:hAnsi="arial" w:cs="arial"/>
          <w:color w:val="000000"/>
          <w:sz w:val="20"/>
          <w:lang w:val="en-US" w:eastAsia="en-US" w:bidi="ar-SA"/>
        </w:rPr>
        <w:t xml:space="preserve"> for the proposition that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does not apply to claims in defamation or invasion of privacy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R.S.B.C., c. 373. The decision of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2000 BCSC 750</w:t>
        </w:r>
      </w:hyperlink>
      <w:r>
        <w:rPr>
          <w:rFonts w:ascii="arial" w:eastAsia="arial" w:hAnsi="arial" w:cs="arial"/>
          <w:color w:val="000000"/>
          <w:sz w:val="20"/>
          <w:lang w:val="en-US" w:eastAsia="en-US" w:bidi="ar-SA"/>
        </w:rPr>
        <w:t xml:space="preserve"> at the British Columbia Supreme Court level and the earlier decision of Blair J. in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[1997] B.C.J. No. 2920</w:t>
        </w:r>
      </w:hyperlink>
      <w:r>
        <w:rPr>
          <w:rFonts w:ascii="arial" w:eastAsia="arial" w:hAnsi="arial" w:cs="arial"/>
          <w:color w:val="000000"/>
          <w:sz w:val="20"/>
          <w:lang w:val="en-US" w:eastAsia="en-US" w:bidi="ar-SA"/>
        </w:rPr>
        <w:t xml:space="preserve">, (19 December 1997), Vancouver S005999 (S.C.) are authority for the proposition that an action which is clearly statute barred can be dismissed pursuant to Rule 18(6). If there are real issues concerning postponement of the limitation period under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then, a defendant would not succeed under a Rule 18(6) application on the basis that the claim was statute barred. (</w:t>
      </w:r>
      <w:r>
        <w:rPr>
          <w:rFonts w:ascii="arial" w:eastAsia="arial" w:hAnsi="arial" w:cs="arial"/>
          <w:i/>
          <w:color w:val="000000"/>
          <w:sz w:val="20"/>
          <w:lang w:val="en-US" w:eastAsia="en-US" w:bidi="ar-SA"/>
        </w:rPr>
        <w:t>Vedco Industries Ltd. (c.o.b. Merit Kitchens) v. Volco Enterprises Ltd.</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(1996), 85 B.C.A.C. 208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action number 12351, the allegations are that the defamatory statements were made beginning on or around April of 2004 or the spring of 2004. There are some references to some of the defamations occurring on several occasions thereafter, but without specifics. The most recent allegation of defamatory conduct appears to have occurred in the fall of 2006. The plaintiff does not suggest in her submissions that the defamation occurred after that. She does argue that somehow the defamation was continuing in the sense that the defendants did not recant their statements or acknowledge that they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action number 12394 the only reference to false or defamatory claims occur in paragraph 17. The allegation is that the defendant Jupp and Stehle made false and defamatory claims against the plaintiff to a labour relations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refers to a letter dated January 14, 2005 that Edie Lowes, then known as Stolwijk, provided to a lawyer acting for Mr. John Turner in a lawsuit against the College, Ms. Sime and Mr. Kolysher. She argues that although she knew this letter was in existence, that she was unable to obtain a copy of it and that at least some of the defendants denied its existence. She argues that she therefore did not have the necessary information to bring an action within two years of the time the defamation occurred. However the defendants argue that the cause of action, if there was one, arose when the defamation occurred and the running of time is not postponed by s. 6(3) or (4) of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per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1999 BCCA 102</w:t>
        </w:r>
      </w:hyperlink>
      <w:r>
        <w:rPr>
          <w:rFonts w:ascii="arial" w:eastAsia="arial" w:hAnsi="arial" w:cs="arial"/>
          <w:color w:val="000000"/>
          <w:sz w:val="20"/>
          <w:lang w:val="en-US" w:eastAsia="en-US" w:bidi="ar-SA"/>
        </w:rPr>
        <w: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opinion, this action does not fall within any of subsections (a) to (h) and, thus, the appellant cannot call in aid the postponement provisions, whatever they mean. Insofar, therefore, as this action is founded upon the Privacy Act of British Columbia, it is statute barred but, as I have said, it is not statute barred if it can be founded on a common law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make the same application with regard to the limitation period in relation to any claims for damages for breach of privacy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find that the defendants' arguments are correct in law and that the plaintiff's claims for defamation are barred because of expiration of the limitation period. I find the plaintiff's claims with regard to damages for invasion of privacy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are also barred by the expiration of limitation periods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plaintiff has not specifically referred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in her claim and may argue that she has suffered damages as a result of the breach of her privacy at common law. In </w:t>
      </w:r>
      <w:r>
        <w:rPr>
          <w:rFonts w:ascii="arial" w:eastAsia="arial" w:hAnsi="arial" w:cs="arial"/>
          <w:i/>
          <w:color w:val="000000"/>
          <w:sz w:val="20"/>
          <w:lang w:val="en-US" w:eastAsia="en-US" w:bidi="ar-SA"/>
        </w:rPr>
        <w:t>Lord v. McGregor</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2000 BCSC 750</w:t>
        </w:r>
      </w:hyperlink>
      <w:r>
        <w:rPr>
          <w:rFonts w:ascii="arial" w:eastAsia="arial" w:hAnsi="arial" w:cs="arial"/>
          <w:color w:val="000000"/>
          <w:sz w:val="20"/>
          <w:lang w:val="en-US" w:eastAsia="en-US" w:bidi="ar-SA"/>
        </w:rPr>
        <w:t>, Mr. Justice McKinnon referred to the reluctance of the English and Canadian courts to recognize such a tort. In the case before him, he found that the plaintiff was unable to provide a reasoned argument in support of a common law privacy tort. He found that even if a common law right of privacy existed on the facts before him, there was no expectation of privacy. It would appear that the plaintiff may have a very difficult time in establishing the existence of such right, but I am not able to say that she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Therefore, with regard to the defendants' application in action number 12351, the plaintiff's claims for damages for defamation and for invasion of privacy to the extent that they are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regard to the claims for defamation, I should also say that the plaintiff has not particularized the claims, but only given a general description of some of the alleged defamations without setting out the defamatory words. The defendants correctly argues in its submissions the following:</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Omission from the pleadings of the actual words alleged to give rise to slander usually results in the impugned paragraphs being struck, or leave being granted to amend.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Frost v. Fox Insurance Brokers </w:t>
      </w:r>
      <w:hyperlink r:id="rId1005" w:history="1">
        <w:r>
          <w:rPr>
            <w:rFonts w:ascii="arial" w:eastAsia="arial" w:hAnsi="arial" w:cs="arial"/>
            <w:i/>
            <w:color w:val="0077CC"/>
            <w:sz w:val="20"/>
            <w:u w:val="single"/>
            <w:shd w:val="clear" w:color="auto" w:fill="FFFFFF"/>
            <w:lang w:val="en-US" w:eastAsia="en-US" w:bidi="ar-SA"/>
          </w:rPr>
          <w:t>[1999] B.C.J. No. 2562</w:t>
        </w:r>
      </w:hyperlink>
      <w:r>
        <w:rPr>
          <w:rFonts w:ascii="arial" w:eastAsia="arial" w:hAnsi="arial" w:cs="arial"/>
          <w:color w:val="000000"/>
          <w:sz w:val="20"/>
          <w:lang w:val="en-US" w:eastAsia="en-US" w:bidi="ar-SA"/>
        </w:rPr>
        <w:t xml:space="preserve"> (Master) aff'd </w:t>
      </w:r>
      <w:hyperlink r:id="rId1006" w:history="1">
        <w:r>
          <w:rPr>
            <w:rFonts w:ascii="arial" w:eastAsia="arial" w:hAnsi="arial" w:cs="arial"/>
            <w:i/>
            <w:color w:val="0077CC"/>
            <w:sz w:val="20"/>
            <w:u w:val="single"/>
            <w:shd w:val="clear" w:color="auto" w:fill="FFFFFF"/>
            <w:lang w:val="en-US" w:eastAsia="en-US" w:bidi="ar-SA"/>
          </w:rPr>
          <w:t>2000 BCSC 93</w:t>
        </w:r>
      </w:hyperlink>
      <w:r>
        <w:rPr>
          <w:rFonts w:ascii="arial" w:eastAsia="arial" w:hAnsi="arial" w:cs="arial"/>
          <w:color w:val="000000"/>
          <w:sz w:val="20"/>
          <w:lang w:val="en-US" w:eastAsia="en-US" w:bidi="ar-SA"/>
        </w:rPr>
        <w:t xml:space="preserve"> (S.C.) para. 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following excerpt from Professor Brown's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summarizes the requirement to plead defamatory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rule is that the defamatory words about which the plaintiff complains must be set out fully and precisely in the statement of claim. The particular words that are claimed to be defamatory must be included in the claim. The impugned words must be pleaded. They should be set forth verbatim, or at least with sufficient particularity to enable the defendant to plead to the allegation. The statement of claim should include the words that were published, the persons to whom they were published, and the date on which they were published. If the jurisdiction requires the pleading of imputations, each imputation must be set out precisely in the statement of claim. It is preferable if the defamatory language is alleged in the form of a quotation or attached as an exhibit to the statement of claim [...] In an action for defamation, "it is essential to know the very words on which the plaintiff founds his claim" this is particularly true in an action for slander.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Ordinarily, it is not sufficient to give the tenor, substance or purport of the libel or slander, or an approximation of the words, or words to a certain "effect", or any other words of a similar import. Merely to plead that the plaintiff was defamed is not sufficient. Nor can the plaintiff rely on some vague general statement of the defamatory words, or his or her interpretation of what they mean. Otherwise the defendant would be deprived of the right to have the court, rather than the plaintiff, determine whether they are capable of a defamatory imputation. The defendant is entitled to have clear understanding of the precise nature of the allegation. The plaintiff must "plead in haec verba the actual words published". The exact words must be set out with reasonable certainty, clarity, particularity and precision. Without the words, there is nothing to construe as defamatory.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Raymond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V. 2 (Toronto: Thompson Canada Ltd., 1999) cited in </w:t>
      </w:r>
      <w:r>
        <w:rPr>
          <w:rFonts w:ascii="arial" w:eastAsia="arial" w:hAnsi="arial" w:cs="arial"/>
          <w:i/>
          <w:color w:val="000000"/>
          <w:sz w:val="20"/>
          <w:lang w:val="en-US" w:eastAsia="en-US" w:bidi="ar-SA"/>
        </w:rPr>
        <w:t>Benson v. Versa Services Ltd.,</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[1997] B.C.J. No. 2648</w:t>
        </w:r>
      </w:hyperlink>
      <w:r>
        <w:rPr>
          <w:rFonts w:ascii="arial" w:eastAsia="arial" w:hAnsi="arial" w:cs="arial"/>
          <w:color w:val="000000"/>
          <w:sz w:val="20"/>
          <w:lang w:val="en-US" w:eastAsia="en-US" w:bidi="ar-SA"/>
        </w:rPr>
        <w:t xml:space="preserve"> at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If I had not struck out the claims for being statute barred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 would have given the plaintiff 30 days in which to amend to particularize the pleading of defamation and failing the plaintiff doing so would have dismissed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applications with regard to action number 12394 are also granted with regard to the claims for defamation. The only allegation of defamation in that statement of claim is clearly statute barred. In addition, it is wholly lacking in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claims with regard to damages for invasion of privacy to the extent that they are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are also dismissed on the basis that they are statute barred. The plaintiff may pursue any claims she believes she has pursuant to any breach of a common law right to privacy. Again, it appears that the plaintiff may have a great deal of difficulty in proving such a claim, but it is not clear that she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also applied to have any allegations of discrimination in both actions be struck on the basis that they have been finally considered and determined in a British Columbia Human Rights Tribunal hearing and are thus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note that there are no claims for damages specifically for discrimination, although some of the allegations of fact may amount to claims that discrimination was a part of the constructive 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reasons for decision on the no-evidence motion in the human rights matter are exhibit A to affidavit #1 of Chris Rawson dated May 26, 2009. Paragraph 1 of those reasons makes it clear that the tribunal member, Lindsay M. Lyster, was dealing with alleged discrimination on the grounds of physical and mental disability. The tribunal may have heard evidence about other allegations or conduct that may be alleged to have been discriminatory in some other fashion, but made no decision on those allegations. The findings are limited to the conclusion that there was no evidence that anything the College did which adversely affected Ms. Sime was due in whole or in part to any disability she may have had. Therefore, except with regard to claims of discrimination against the College based on physical or mental disability, the argument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cannot stand. It is not clear at this time what relevance the plaintiff's allegation about the College's conduct towards her may have during the trial as it relates to the issues of wrongful or constructive dismissal. Therefore, I dismiss the defendant's application to strike any allegations of discrimination in both actions, but without prejudice to the defendants to argue the issue at the trial, if the matter goes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only claims that have not been dismissed in action number 12351 are potential claims that may arise out of common law with regard to invasion of privacy. The defendants argued that these two actions should be tried together if they were not dismissed. It is logical that action number 12351 and action number 12394 should be tried together. In the event Ms. Sime decides that she wishes to pursue any claims that might remain in action number 12351, she may wish to consider or the defendants may wish to consider consolidating the two actions rather than simply having them tried together. This may result in the savings of costs. It would not be necessary then to pay for two notices of trial and the unsuccessful party would not be required to pay two bills of costs to the successful party. This is the matter the parties should consider and which they may be able to address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shall have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Vancouver Coastal Health Authority v. Moscipan, [2017] B.C.J. No. 2605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L.S. Marchand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27-December 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S121908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2605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Vancouver Coastal Health Authority, Plaintiff, and Wanda Moscipan, Miroslaw Moscipan and Brian Moscipan,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8"/>
      <w:bookmarkEnd w:id="259"/>
      <w:r>
        <w:rPr>
          <w:rFonts w:ascii="arial" w:eastAsia="arial" w:hAnsi="arial" w:cs="arial"/>
          <w:b/>
          <w:color w:val="000000"/>
          <w:sz w:val="20"/>
          <w:lang w:val="en-US" w:eastAsia="en-US" w:bidi="ar-SA"/>
        </w:rPr>
        <w:t>Creditors and debtors Law — Fraudulent conveyances — Conveyances that are void — Intent to defeat, hinder, delay or defraud creditors — Burden of proof — Voluntary conveyances — Action by VCHA to set aside transfer of Wanda Moscipan's half interest in family home to husband Miroslaw as fraudulent conveyance allowed — Wanda was long-term and trusted employee of VCHA who stole over $500,000 from VCHA — After learning of planned audit by VCHA, Wanda transferred interest in family home to Miroslaw — Part of Wanda's intent in transferring interest in family home was to protect family by delaying, hindering or defeating VCHA — Transfer was set aside — Fraudulent Conveyances Act, ss. 1, 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Personal property — Trespass or conversion — Fraud and misrepresentation — Action by Vancouver Coastal Health Authority (VCHA) for damages against Miroslaw Moscipan allowed — Action by Vancouver Coastal Health Authority (VCHA) for damages against Miroslaw Moscipan and to set aside transfer of Wanda Moscipan's half interest in family home to Miroslaw as fraudulent conveyance allowed — Wanda was long-term and trusted employee of VCHA who stole over $500,000 from VCHA — Funds were deposited into account controlled by Wanda and paid out to husband Miroslaw and son — Wanda died and estate did not contest liability — Miroslaw had constructive knowledge of Wanda's actions and was also liable to VCHA — VCHA awarded amount of $574,646 against Wanda and $246,073 against Miroslaw — Family Law Act, s. 147.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conveyances and preferences — Impeachable conveyances and preferences — Fraudulent misrepresentation — Specific elements — Known falsity — Action by VCHA for damages against Miroslaw Moscipan and to set aside transfer of Wanda Moscipan's half interest in family home allowed — Wanda was long-term and trusted employee of VCHA who stole over $500,000 from VCHA — Funds were deposited into account controlled by Wanda and paid out to husband Miroslaw and son — Wanda died and estate did not contest liability — Miroslaw had constructive knowledge of Wanda's actions and was also liable to VCHA — VCHA awarded amount of $574,646 against Wanda and $246,073 against Miroslaw — Transfer was set aside as fraudulent conveyance — Family Law Act, s. 147 — Fraudulent Conveyances Act, ss. 1, 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7"/>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Vancouver Coastal Health Authority (VCHA) for damages against Miroslaw Moscipan and to set aside the transfer of Wanda Moscipan's half interest in her family home to Miroslaw as a fraudulent conveyance. Wanda was a long-term and trusted employee of the VCHA. She worked as an administrator in the Departments of Obstetrics and Gynaecology at both the VCHA and the University of British Columbia. Between 2003 and 2011, Wanda stole and/or defrauded over $500,000 from the VCHA, primarily by having busy physicians sign blank cheque requisitions which she subsequently completed to direct the requested cheques to an account she controlled. Wanda then wrote cheques from the account to herself, her husband Miroslaw and her son Brian. Wanda was diagnosed with cancer in October 2010 but kept working. In February 2011, a new department head became suspicious of Wanda and requested an audit. In March 2011, Wanda transferred her interest in the family home to her husband. The audit uncovered bookkeeping and accounting irregularities, which led to Wanda's termination. Subsequent audits led to the discovery of Wanda's theft from and fraud against the VCHA. Wanda passed away in July 2012. Her liability for the fraud was not contested. The VCHA claimed that Miroslaw actively participated in or knowingly received the benefit of Wanda's fraud. Miroslaw denied that he was aware of or had anything to do with his wife's theft from and fraud against the VCHA. Miroslaw said he always owned half of the family home and that the formal transfer of a half interest to him in joint tenancy was simply an estate planning step the Moscipans took on the advice of a notary public when the couple knew that Wanda was going to die.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2"/>
            <w:bookmarkEnd w:id="26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clear and uncontested that Wanda committed the tort of conversion by taking the funds of the VCHA and using them for her own benefit. She also committed the tort of civil fraud by knowingly making false representations which caused medical staff of the VCHA to authorize payments to the fraudulent account, or to Wanda personally, and resulted in a substantial loss to the VCHA. The VCHA was granted judgment against Wanda in the amount of $574,646. Miroslaw said that Wanda was secretive about money and admitted being suspicious about the source of her funds. While Wanda occasionally received money from her father, it was unreasonable for Miroslaw to believe that Wanda's father was the main source of all the additional income that had raised his own suspicions. Miroslaw had constructive knowledge of Wanda's actions and was liable to the VCHA for his knowing receipt of the proceeds of Wanda's conversion and fraud. From the money received by Wanda, the amount of $492,146 was properly characterized as a family expense. Miroslaw must pay restitution of half that amount, or $246,073, to the VCHA. At least part of Wanda's intent in transferring the half interest in the family home to Miroslaw was to protect her family by delaying, hindering or defeating the VCHA. That Wanda may also have had a coincident legitimate estate planning objective did not rebut the presumption of fraud. The transfer was set aside. The subsequent transfer of the remaining half interest in the family home to Miroslaw as the surviving joint tenant would necessarily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32"/>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Law Act, </w:t>
      </w:r>
      <w:hyperlink r:id="rId1015" w:history="1">
        <w:r>
          <w:rPr>
            <w:rFonts w:ascii="arial" w:eastAsia="arial" w:hAnsi="arial" w:cs="arial"/>
            <w:i/>
            <w:color w:val="0077CC"/>
            <w:sz w:val="20"/>
            <w:u w:val="single"/>
            <w:shd w:val="clear" w:color="auto" w:fill="FFFFFF"/>
            <w:lang w:val="en-US" w:eastAsia="en-US" w:bidi="ar-SA"/>
          </w:rPr>
          <w:t>S.B.C. 2011, c. 25, s. 147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Conveyance Act, </w:t>
      </w:r>
      <w:hyperlink r:id="rId1016" w:history="1">
        <w:r>
          <w:rPr>
            <w:rFonts w:ascii="arial" w:eastAsia="arial" w:hAnsi="arial" w:cs="arial"/>
            <w:i/>
            <w:color w:val="0077CC"/>
            <w:sz w:val="20"/>
            <w:u w:val="single"/>
            <w:shd w:val="clear" w:color="auto" w:fill="FFFFFF"/>
            <w:lang w:val="en-US" w:eastAsia="en-US" w:bidi="ar-SA"/>
          </w:rPr>
          <w:t>R.S.B.C. 1996, c. 163, s. 1</w:t>
        </w:r>
      </w:hyperlink>
      <w:r>
        <w:rPr>
          <w:rFonts w:ascii="arial" w:eastAsia="arial" w:hAnsi="arial" w:cs="arial"/>
          <w:color w:val="000000"/>
          <w:sz w:val="20"/>
          <w:lang w:val="en-US" w:eastAsia="en-US" w:bidi="ar-SA"/>
        </w:rPr>
        <w:t>,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38"/>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Lee, L. Anand. Miroslaw Moscipan appeared on their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38"/>
      <w:bookmarkEnd w:id="264"/>
      <w:r>
        <w:pict>
          <v:line id="_x0000_s1229"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L.S. MARCHAND J."/>
            <w:bookmarkEnd w:id="265"/>
            <w:r>
              <w:rPr>
                <w:rFonts w:ascii="arial" w:eastAsia="arial" w:hAnsi="arial" w:cs="arial"/>
                <w:b/>
                <w:color w:val="000000"/>
                <w:sz w:val="30"/>
                <w:lang w:val="en-US" w:eastAsia="en-US" w:bidi="ar-SA"/>
              </w:rPr>
              <w:t>L.S. MARCHAND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Wanda Moscipan was a long-term and trusted employee of the Vancouver Coastal Health Authority ("VCHA") and the Faculty of Medicine at the University of British Columbia ("UBC"). She worked as an administrator in the Departments of Obstetrics and Gynaecology at both. According to the VCHA, the VCHA was responsible for 80% of her salary and UBC was responsible for 20% of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Between 2003 and 2011, Ms. Moscipan stole and/or defrauded over $500,000 from the VCHA, primarily by having busy physicians sign blank cheque requisitions which she subsequently completed to direct the requested cheques to an account she controlled. The account was known as the Gynaecological Professional Staff Fund ("GPSF"). She is also alleged to have defrauded UBC of a substantial sum of money - but that is the subject of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Moscipan wrote cheques from the GPSF account for various purposes. She wrote cheques to herself, she wrote cheques to her son, Brian, and she wrote cheques to pay outstanding balances on Visa cards held by herself, her husband, Miroslaw Moscipan, and her son. To avoid confusion, I will refer to Miroslaw Moscipan as "Mr. Moscipan" and the Moscipans' son by his first and last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Moscipan was diagnosed with a terminal form of cancer in October 2010, but asked to continue working. Shortly after Ms. Moscipan's diagnosis, a new Department Head, Dr. Geoffrey Cundiff, was appointed. Dr. Cundiff became suspicious of some of Ms. Moscipan's behaviours and, in February 2011, Dr. Cundiff requested that UBC conduct an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March 2011, Ms. Moscipan transferred a half interest in the Moscipans' family home to Mr. Moscipan.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initial audit was completed by UBC in August 2011. The audit uncovered bookkeeping and accounting irregularities and, as a result, Ms. Moscipan was relieved of her role in managing the finances of the Department at UBC. In the fall of 2011, UBC discovered some allegedly fraudulent conduct in relation to Ms. Moscipan's salary and, in November 2011, Ms. Moscipan was terminated for cause. Subsequent audits led to the discovery of Ms. Moscipan's theft from and fraud against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Moscipan passed away in July 2012. Ms. Moscipan did not file a Response to Civil Claim in this action before she passed away. Her liability is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Notice of Civil Claim filed by the VCHA seeks damages from Mr. Moscipan and Brian Moscipan for knowingly assisting Ms. Moscipan and/or knowingly receiving the benefit of Ms. Moscipan's actions. The VCHA also seeks to set aside Ms. Moscipan's transfer of the half interest in the family home to Mr. Moscipan as a fraudulent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trial, the VCHA discontinued its action against Brian Moscipan. Mr. Moscipan was the only Defendant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Moscipan denies that he was aware of or had anything to do with his wife's theft from and fraud against the VCHA. He says he was a stay-at-home parent who led a frugal life. He says his wife was somewhat secretive about the family's finances but he did not press her for details. He knew his wife made over $100,000 per year, which, to him, was a substantial amount of money. He was also aware that his wife received a substantial amount of money from her father, before and after his death. Mr. Moscipan suspected that his wife was receiving even more from her father. Between her salary and the money from her father, Mr. Moscipan thought his wife had enough income to pay all the family's bills. He did not suspect that she was stealing from and defrauding her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Moscipan says he always owned half of the family home and that the formal transfer of a half interest to him in joint tenancy was simply an estate planning step the Moscipans took on the advice of a notary public when the couple knew that Ms. Moscipan was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has the VCHA suffered as a result of Ms. Moscipan's conversion and fraud?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Moscipan liable to the VCHA for actively participating in his wife's conversion and fraud?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Moscipan liable to the VCHA for knowingly receiving the benefit of his wife's conversion and fraud?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Moscipan is liable to the VCHA, what is the appropriate measure of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Mr. Moscipan be ordered to pay aggravated damages to the VCHA and, if so, in what amount?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half interest in the family home fraudulently conveyed to Mr. Moscipan such that the conveyance must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establish the needed context for my analysis, I will first set out a timeline of the key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Moscipan was born in Poland in 1956 and emigrated to Canada in 1974. He met Ms. Moscipan shortly after his arrival and they began dating in 1975. The Moscipans were married in 1979 and had three children together. Miranda was born in 1984, Brian in 1989 and Samantha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Moscipan joined the Department of Obstetrics and Gynaecology at UBC as a junior assistant in 1974. She took some time off when the children were young but worked her way up through various secretarial and administrative positions. In 1997, Ms. Moscipan was appointed to the position of Senior Administrator for the Departments of Obstetrics and Gynaecology at both UBC and the VCHA. The two Departments are closely related and are largely staffed by the same physicians. As the Senior Administrator, Ms. Moscipan was responsible for managing the finances of the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the discovery of her theft and fraud, Ms. Moscipan was described by the medical staff she worked with as "extremely helpful", "valued" and "fantastic". She was an indispensable and central figure in the Departments, particularly regarding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meantime, Mr. Moscipan worked as an auto-mechanic from 1975 to 1987. He then purchased and drove a "semi" from 1987 to 1991. After that, Mr. Moscipan dabbled, without success, in home construction but was primarily a stay-at-home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1981, the Moscipans purchased a property in the Killarney neighbourhood of Vancouver. I understood that Mr. Moscipan constructed a "spec" home on the property, that the Moscipans sold it in early 1992 and that the Moscipans made very little on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Moscipans purchased their family home at 3328 Tennyson Crescent in North Vancouver in 1984 for $118,000. The property was registered in both parties' names. By 1992, the Tennyson property was mortgage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keep himself busy, Mr. Moscipan began looking to purchase another property for the family or as an investment. The Moscipans remortgaged the Tennyson property in 1992 for $160,000 and purchased a lot on Citadel Court in North Vancouver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Moscipans took out a $400,000 construction loan from the North Shore Savings and Credit Union which was secured against both the Citadel and Tennyson properties. Mr. Moscipan began constructing a home on the Citadel property in 1995, doing much of the work himself. He drew down $200,000 on the construction loan in order to get the construction to the framing stage. Progress had been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Perhaps because of the slow pace of construction, the Credit Union refused to advance any more money to the Moscipans and, in 2000, the Credit Union commenced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Moscipan still wanted to complete the Citadel project and secured further financing from equity lender, Capital Direct. The Credit Union loan and various liens against the Citadel property were paid out but Capital Direct refused to release all of the loan proceeds. Capital Direct then foreclosed on the Citadel property. The foreclosure sale proceeds were inadequate to pay all of the Moscipans' indebtedness so the Moscipans were forced to take out a $200,000 mortgage on the Tennyson property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Moscipan says he felt lost and guilty about jeopardizing his family's financial security. He says he was worried that if the Tennyson property remained in his name he might be tempted to remortgage the property to pursue another venture. To ensure that did not happen, Mr. Moscipan says he transferred his half interest in the Tennyson property to his wife. To "bury his guilt", he told her she could do anything she wanted with the property, including "kick him out". I understood that the transfer of Mr. Moscipan's half interest in the Tennyson property to Ms. Moscipan occurred at or about the time the Tennyson property was remortgaged for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Moscipan made all of the regularly scheduled payments on the mortgage and various lump sum payments. Specifically, Ms. Moscipan made a $40,000 lump sum payment on the mortgage in 2002 and again in 2008 and then paid out the balance of the mortgage with a further lump sum payment of nearly $68,000 in January of 2011. There is no dispute that all of the money used for the lump sum payments came from Ms. Moscipan's father or 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Taking a small step back, in 1994, the former head of the Departments at UBC and the VCHA directed a staff physician, Dr. Thomas Ehlen, to open the GPSF account for matters not directly related to the operation of the Departments. Initially, the account was used to collect money to offer an award for the capture of the person who had shot a colleague. Dr. Ehlen opened the account with Ms. Moscipan at the Bank of Montreal ("BMO"). Both were signatories on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infer that the GPSF account was largely dormant until Ms. Moscipan began utilizing the account in 2003 as a vehicle to perpetrate her thefts and frauds.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BMO records obtained by UBC show that deposits to the GPSF account between March 31, 2003 and January 31, 2005 totalled $42,016.72. The source of these deposits is not clear from the BMO records. VCHA records consisting of cheque requisitions, cancelled cheques and/or a spreadsheet recovered from Ms. Moscipan's email account show deposits to the GPSF account from the VCHA between February 23, 2005 and November 2, 2011 totalling $511,281.44.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VCHA cheque requisitions show that Ms. Moscipan had staff physicians authorize honoraria and other payments to her between May 2, 2005 and June 27, 2007 totalling $21,248.35. The physicians who authorized these payments gave uncontested evidence that they were not authorized to and did not knowingly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Ehlen was the first person at the VCHA to notice that something may have been wrong. Though he could not be precise with the date, he testified that in about March 2010, he noticed that one of the Department's larger research funds was short approximately $250,000. Dr. Ehlen asked Ms. Moscipan about the shortfall. Ms. Moscipan explained that the Head of the Department had approved an alternate use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Though Dr. Ehlen was upset that he had not been consulted about the alternate use of the research funds, it was not uncommon for money to be moved between accounts on the understanding that the money would be returned to the proper account later. Dr. Ehlen trusted Ms. Moscipan, told her the money would have to be returned to the research fund account in the coming months and did not investigate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timing of Dr. Ehlen's discussion with Ms. Moscipan about the missing funds is supported by the VCHA's records. Ms. Moscipan did not requisition any cheques from the VCHA to herself or the GPSF account between January 20, 2010 and September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May 2010, Ms. Moscipan began feeling unwell. After a trip to Hawaii with Miranda, Ms. Moscipan was, in Mr. Moscipan's words, "really sick". Ms. Moscipan first saw her doctor in July 2010 and, subsequently, the news got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Moscipan says the Moscipans had concluded by September 2010 that Ms. Moscipan was dying and made an appointment with a notary public. As a result of that appointment, Mr. Moscipan says they decided to transfer a half interest in the Tennyson property to Mr. Moscipan and take certain other steps as estate planning measures. On September 16, 2010, Ms. Moscipan made Mr. Moscipan a joint account holder on the personal account she had maintained at TD Canada Trust since 2001. On September 30, 2010, Ms. Moscipan executed a new will. On October 19, 2010, Ms. Moscipan executed a power of attorney in favour of Mr. Moscipan. Mr. Moscipan says the Moscipans were advised to transfer the half interest in the Tennyson property to him after the mortgage was cleared from the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October 29, 2010, Ms. Moscipan received the diagnosis that she was terminally ill with cancer. Mr. Moscipan described this as the worst day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Cundiff was appointed to be the Department Head at both UBC and the VCHA in November 2010. On the day he was appointed, Ms. Moscipan informed him of her illness and that she would be taking a medical leave. Ms. Moscipan also asked to continue working evenings. Given that she would be undergoing chemotherapy and had medical benefits, Dr. Cundiff found Ms. Moscipan's request to be 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 the next several months, Dr. Cundiff became suspicious that Ms. Moscipan was trying to hide something. She was not cooperative with him or with the temporary person he hired to assist him. In one case, he had to hire a locksmith to access human resources and financial records which were in a locked filing cabinet. Ms. Moscipan claimed the key to the cabinet had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much soul searching, Dr. Cundiff went to the Dean of Medicine at UBC in February 2011 to ask for an audit of his Department. There was no evidence that Ms. Moscipan was aware of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3, 2011, Ms. Moscipan transferred a half interest in the Tennyson property to Mr. Moscipan. Mr. Moscipan says the timing was driven by the time it took, after the final mortgage payment in January 2011, for the mortgage company to clear the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initial audit uncovered bookkeeping and accounting irregularities so, in August 2011, Dr. Cundiff relieved Ms. Moscipan of her role in managing the finances of the Department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of the initial audit, Dr. Cundiff became even more suspicious and asked the Dean of Medicine to do a full investigation of all of the UBC Department's finances. In the meantime, a new staff member was given full access to the Department's financial records. The new staff person discovered that Ms. Moscipan was being paid as a full time employee of UBC while also being paid 80% of the salary of a full time employee of the VCHA. The new staff person also found that Ms. Moscipan had received a 3% increase in pay authorized by Dr. Cundiff.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Cundiff testified that he had not authorized a pay increase for Ms. Moscipan and that he understood UBC was to be responsible for paying Ms. Moscipan 20% of the salary of a full 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Cundiff worked with the Human Resources Departments at UBC and the VCHA, as well as Ms. Moscipan's union, to coordinate a meeting with her. On November 15, 2010, Dr. Cundiff confronted Ms. Moscipan with the information he had learned. Ms. Moscipan justified being paid 180% of the salary of a full time employee on the basis that she worked so hard but acknowledged that Dr. Cundiff was unaware of the amount she was being paid. Ms. Moscipan also acknowledged having forged Dr. Cundiff's signature authorizing her pay raise. Ms. Moscipan was then dismissed for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Moscipan's fraudulent use of the GPSF account came to light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damages has the VCHA suffered as a result of Ms. Moscipan's conversion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Though the VCHA is in a position to take out default judgment against Ms. Moscipan, I will set out the basis of her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at para. 31, Iacobucci J., for a majority of the Supreme Court of Canada, defined the tort of conversion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tort of conversion involves a wrongful interference with the goods of another, such as taking, using or destroying these goods in a manner inconsistent with the owner's right of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Bruno Appliances and Furniture, Inc. v. Hryniak</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 Karakatsanis J., for a unanimous Supreme Court of Canada, summarized the tort of civil fraud as comprising the following four elements: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made by the defendant;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level of knowledge of the falsehood of the representation on the part of the defendant (whether through knowledge or recklessness);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false representation caused the plaintiff to act;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Though the physicians who authorized the cheques which were paid to the GPSF or Ms. Moscipan did not take the care they should have, particularly given that the money at issue was not theirs,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 defence to either the tort of conversion or civil fraud: </w:t>
      </w:r>
      <w:r>
        <w:rPr>
          <w:rFonts w:ascii="arial" w:eastAsia="arial" w:hAnsi="arial" w:cs="arial"/>
          <w:i/>
          <w:color w:val="000000"/>
          <w:sz w:val="20"/>
          <w:lang w:val="en-US" w:eastAsia="en-US" w:bidi="ar-SA"/>
        </w:rPr>
        <w:t>Boma</w:t>
      </w:r>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United Services Funds (Trustee of) v. Richardson Greenshields of Canada Ltd</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(1988), 22 B.C.L.R. (2d) 322</w:t>
        </w:r>
      </w:hyperlink>
      <w:r>
        <w:rPr>
          <w:rFonts w:ascii="arial" w:eastAsia="arial" w:hAnsi="arial" w:cs="arial"/>
          <w:color w:val="000000"/>
          <w:sz w:val="20"/>
          <w:lang w:val="en-US" w:eastAsia="en-US" w:bidi="ar-SA"/>
        </w:rPr>
        <w:t xml:space="preserve"> (S.C.) at paras. 62-64.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was clear and uncontested that Ms. Moscipan committed the tort of conversion by taking the funds of the VCHA and using them for her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was also clear and uncontested that Ms. Moscipan committed the tort of civil fraud by knowingly making false representations which caused medical staff of the VCHA to authorize payments to the GPSF, or to Ms. Moscipan personally, and resulted in a substantial loss to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VCHA did not produce any records to directly and specifically establish any loss due to Ms. Moscipan's conversion and fraud that pre-date February 23, 2005. Prior to this date, the VCHA relies on the BMO records obtained by UBC, testimony given by Ms. Moscipan in her examination for discovery in the UBC action (which I admitted into evidence) and the testimony of a UBC auditor to establish this part of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BMO records show that deposits to the GPSF account between March 31, 2003 and January 31, 2005 totalled $42,016.72. While the source of the deposits is not clear, Ms. Moscipan testified under oath that she alone controlled the activity in the GPSF account and that there were only three sources of funds deposited into the account, namely funds from UBC, funds from the VCHA and refund cheques totalling less than $2,000 that were due to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UBC auditor identified cheques from UBC which were deposited into the GPSF account. The first one was dated October 2, 2009. Given that all of the cheques deposited into the GPSF account prior to February 23, 2005 exceeded $2,000 and that the VCHA's records establish its cheques began going into the GPSF as early as February 2005, I find on a balance of probabilities that the funds deposited into the GPSF account prior to February 23, 2005 were also from the VCHA. There is no reason for me to think that Ms. Moscipan deposited cheques from UBC into the GPSF account between 2003 and 2005 then stopped doing so for several years before starting again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all of the evidence, I am satisfied, on a balance of probabilities, that Ms. Moscipan is liable to the VCHA in conversion and fraud for the following amounts:</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$42,016.72 deposited into the GPSF account between March 31, 2003 and January 31, 2005;</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$511,381.44 deposited into the GPSF account between February 23, 2005 and November 2, 2011;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$21,248.35 paid to Ms. Moscipan for honoraria and other expenses between May 2, 2005 and June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Accordingly, I give judgment to the VCHA against the estate of Ms. Moscipan in the total amount of $574,646.51. Mr. Moscipan did not contest these amounts.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Mr. Moscipan liable to the VCHA for actively participating in or knowingly receiving the benefit of his wife's conversion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the claims against Mr. Moscipan for actively participating in or knowingly receiving the benefit of his wife's fraud are closely related, I will analyse them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can be no doubt that Ms. Moscipan held a position of trust within the VCHA and that she breached that trust through her conversion and fraud. The question is whether Mr. Moscipan, who was a stranger to the trust, may also be held liable to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para. 19, LaForest J., for a majority of the Supreme Court of Canada, described three bases of possible liability of a stranger to a trust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There are three ways in which a stranger to a trust can be held liable as a constructive trustee for breach of trust. First, a stranger to the trust can be liable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Secondly, a stranger to the trust can be liable for breach of trust by knowingly assisting in a fraudulent and dishonest design on the part of the trustees ("knowing assistance"). Thirdly, liability may be imposed on a stranger to the trust who is in receipt and chargeable with trust property ("knowing receipt"; see </w:t>
      </w:r>
      <w:r>
        <w:rPr>
          <w:rFonts w:ascii="arial" w:eastAsia="arial" w:hAnsi="arial" w:cs="arial"/>
          <w:i/>
          <w:color w:val="000000"/>
          <w:sz w:val="20"/>
          <w:lang w:val="en-US" w:eastAsia="en-US" w:bidi="ar-SA"/>
        </w:rPr>
        <w:t>Air Canada v. M &amp; L Travel Ltd., supra</w:t>
      </w:r>
      <w:r>
        <w:rPr>
          <w:rFonts w:ascii="arial" w:eastAsia="arial" w:hAnsi="arial" w:cs="arial"/>
          <w:color w:val="000000"/>
          <w:sz w:val="20"/>
          <w:lang w:val="en-US" w:eastAsia="en-US" w:bidi="ar-SA"/>
        </w:rPr>
        <w:t>, at pp. 809-11).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LaForest J. went on to explain the knowledge requirement to establish knowing assistance or knowing receipt, at paras 21, 22 and 48,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Air Canada v. M &amp; L Travel Ltd., supra</w:t>
      </w:r>
      <w:r>
        <w:rPr>
          <w:rFonts w:ascii="arial" w:eastAsia="arial" w:hAnsi="arial" w:cs="arial"/>
          <w:color w:val="000000"/>
          <w:sz w:val="20"/>
          <w:lang w:val="en-US" w:eastAsia="en-US" w:bidi="ar-SA"/>
        </w:rPr>
        <w:t>, this Court considered the requirements for bringing a case within the "knowing assistance" category...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...With regard to the knowledge requirement (in the "knowing assistance" category), Iacobucci J. wrote for the majority, at p. 811: "The knowledge requirement for this type of liability is actual knowledge; recklessness or wilful blindness will also suffice." He expressly excluded constructive knowledge from this test. Iacobucci J. defined constructive knowledge, at p. 812, as "knowledge of circumstances which would indicate the facts to an honest person, or knowledge of facts which would put an honest person on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Given the fundamental distinction between the nature of liability in assistance and receipt cases, it makes sense to require a different threshold of knowledge for each category of liability... (I)n "knowing receipt" cases, which are concerned with the receipt of trust property for one's own benefit, there should be a lower threshold of knowledge required of the stranger to the trust. More is expected of the recipient, who, unlike the accessory, is necessarily enriched at the plaintiff's expense. Because the recipient is held to this higher standard, constructive knowledge (that is, knowledge of facts sufficient to put a reasonable person on notice or inquiry) will suffice as the basis for restitutionary liability. Iacobucci J. reaches the same conclusion in </w:t>
      </w:r>
      <w:r>
        <w:rPr>
          <w:rFonts w:ascii="arial" w:eastAsia="arial" w:hAnsi="arial" w:cs="arial"/>
          <w:i/>
          <w:color w:val="000000"/>
          <w:sz w:val="20"/>
          <w:lang w:val="en-US" w:eastAsia="en-US" w:bidi="ar-SA"/>
        </w:rPr>
        <w:t>Gold, supra</w:t>
      </w:r>
      <w:r>
        <w:rPr>
          <w:rFonts w:ascii="arial" w:eastAsia="arial" w:hAnsi="arial" w:cs="arial"/>
          <w:color w:val="000000"/>
          <w:sz w:val="20"/>
          <w:lang w:val="en-US" w:eastAsia="en-US" w:bidi="ar-SA"/>
        </w:rPr>
        <w:t>, where he finds, at para. 46, that a stranger in receipt of trust property "need not have actual knowledge of the equity [in favour of the plaintiff]; notice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 direct evidence that Mr. Moscipan was actually aware of or participated in his wife's actions. The extent of Mr. Moscipan's knowledge must be derived exclusively from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VCHA does not seriously press for a finding that Mr. Moscipan actively participated in his wife's conversion and fraud. Rather, the VCHA submits that Mr. Moscipan had constructive knowledge of his wife's conversion and fraud in the sense that a reasonable person in Mr. Moscipan's position would have had sufficient knowledge of facts to have been put on notice or inquiry.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the relevant period, Ms. Moscipan was the sole source of income for the Moscipan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1997, Mr. Moscipan understood that his wife had two jobs, one at UBC and one at the VCHA, such that her income doubled. By 2007, he was aware that she was making over $100,000 per year from her two jobs. Mr. Moscipan produced tax records for Ms. Moscipan from 2007 to 2011 which support his understanding of his wife's total earnings. The evidence in this case (which could be different in the UBC case) gave me no reason to believe that Mr. Moscipan was, or ought to have been, aware of the allegation that Ms. Moscipan arranged to overpay herself from UBC until after she was terminated by UBC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years from 2006 to 2011, the GPSF account and the Moscipans' own financial records show: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0" type="#_x0000_t75" style="width:432.06pt;height:181.53pt">
            <v:imagedata r:id="rId102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each of these years, the records show income of tens of thousands of dollars which could not be allocated to specific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Moscipan received the benefit of the funds from the GPSF account on a tax-free basis. I, therefore, agree with the VCHA that the funds available to Ms. Moscipan effectively doubled what Mr. Moscipan understood his wife's net income to be during these years as a result of her conversion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Though the evidence is clear that Ms. Moscipan paid off the mortgage on the Tennyson property with money from her father and her father's estate, there was evidence of the Moscipan family leading a richer lifestyle than a typical family of four or five with a net family income in the neighbourhood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Between 2003 and 2012, the Moscipans purchased 13 vehicles (cars, SUVs and motorcycles) in addition to the vehicles they already owned. Though these were used vehicles, some were not expensive and many were resold after Mr. Moscipan had completed some repairs to them, some were purchased without any discussion about whether the family could afford the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Moscipans provided vehicles to each of their children and paid for the insurance, fuel and maintenance on all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VCHA introduced an expert report from labour economist, Robert Carson. Mr. Carson's report establishes that between 2006 and 2011, Ms. Moscipan's reported net income placed the Moscipan family in the range of the 45th percentile as compared to Canadian four and five member households consisting only of couples and their unmarried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such families, Mr. Carson's report indicates that typical annual expenditures on food were just over $9,000 and on transportation were between $10,000 and $13,000. Meanwhile, the Moscipans' financial records show that between 2006 and 2011 their annual food expenses ranged from $18,000 to over $23,000 and their annual transportation expenses were typically close to $20,000 but in one year reached $28,000 and in another year exceeded $34,000.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all of this is compelling evidence that Mr. Moscipan should reasonably have been put on notice, the best evidence is Mr. Moscipan's own evidence that he was suspicious.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During his examination for discovery on October 13, 2017, Mr. Moscipan admitted that Ms. Moscipan was very secretive about the family's finances and that he was suspicious she was receiving money from her father "because she never complained that she was short of money". Mr. Moscipan thought Ms. Moscipan might be keeping such payments from him because she knew he would ask her to use the money to pay down the mortgage on the Tennyson property when she, apparently, did not want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During cross-examination, Mr. Moscipan also admitted having suspicions regarding how Ms. Moscipan could afford annual vacations with the children. When he asked her how she was going to pay for the vacations, Ms. Moscipan once explained that she received a retroactive pay adjustment and on another occasion a tax refund. Mr. Moscipan again testified that he suspected Ms. Moscipan was not telling him about money she was receiving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Ms. Moscipan was obviously adept at fooling people close to her regarding financial matters. She fooled her close colleagues at UBC and the VCHA for many years, to the point that it took several audits conducted over a year or more for UBC and the VCHA to uncover the extent of her conversion and fraud. Given Ms. Moscipan's obvious skill at deceit, I have concluded that she also fooled Mr. Moscipan. I must, however, move on to consider whether Mr. Moscipan's subjective belief that his wife had legitimate alternative sources of income was objectively reasonable: </w:t>
      </w:r>
      <w:r>
        <w:rPr>
          <w:rFonts w:ascii="arial" w:eastAsia="arial" w:hAnsi="arial" w:cs="arial"/>
          <w:i/>
          <w:color w:val="000000"/>
          <w:sz w:val="20"/>
          <w:lang w:val="en-US" w:eastAsia="en-US" w:bidi="ar-SA"/>
        </w:rPr>
        <w:t>Cambrian Excavators Ltd. v. Taferner</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2006 MBQB 64</w:t>
        </w:r>
      </w:hyperlink>
      <w:r>
        <w:rPr>
          <w:rFonts w:ascii="arial" w:eastAsia="arial" w:hAnsi="arial" w:cs="arial"/>
          <w:color w:val="000000"/>
          <w:sz w:val="20"/>
          <w:lang w:val="en-US" w:eastAsia="en-US" w:bidi="ar-SA"/>
        </w:rPr>
        <w:t xml:space="preserve"> at paras.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was clear that Ms. Moscipan's father, or his estate, gave Ms. Moscipan $85,000 in 2002, $50,000 in 2008 and $70,000 in 2011. Of this, the evidence was also clear that Ms. Moscipan utilized $40,000 in each of 2002 and 2008 and close to $68,000 in 2011 to pay off the mortgage on the Tennyson property. That left Ms. Moscipan with an additional $57,000 between 2002 and 2011. This is not an insignificant sum - except when compared to the additional income available to the family as a result of Ms. Moscipan's conversion and fraud, which was about ten times this amount, based on the money obtained through Ms. Moscipan's theft from and fraud against the VCHA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unable to find that it was reasonable for Mr. Moscipan to believe that Ms. Moscipan's father was the main source of all the additional income that had raised Mr. Moscipan's own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First, it is hard to understand why Ms. Moscipan would inform Mr. Moscipan of $205,000 received from her father but not additional money, over this amount, if received. Second, regarding the first payment of $85,000, Mr. Moscipan testified that his wife's two siblings received the same amount. Mr. Moscipan would have to have reasonably believed that Ms. Moscipan's father would continue to treat his children equally yet there was no evidence to suggest that Ms. Moscipan's siblings were also living above their apparent means (as would be expected if Ms. Moscipan's father was also giving them so much money). Finally, there was no evidence regarding the ability of Ms. Moscipan's father to provide the kind of additional income to Ms. Moscipan as should have been evident from the family's spending, never mind also doing the same for his other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carefully considering all of the evidence, I have concluded that Mr. Moscipan is liable to the VCHA for his knowing receipt of the proceeds of Ms. Moscipan's conversion and fraud. My finding is based on Mr. Moscipan's constructive rather than actual knowledge of Ms. Moscipan's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is the appropriate measure of damages for Mr. Moscipan's knowing receipt of the benefit of Ms. Moscipan's conversion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VCHA submits that Mr. Moscipan should be held responsible for virtually all of the funds Ms. Moscipan misappropriated, other than those clearly spent on her alone or which he clearly did not personally enjoy. The VCHA relies on Mr. Moscipan's obligation under s. 147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to support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Respectfully, the VCHA's submission ignores the fact that Ms. Moscipan shared the responsibility to support the children and that only Samantha was, by virtue of age alone, a child eligible for support throughout Ms. Moscipan's conversion and fraud. Further, the VCHA's submission is not supported by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two cases with closely analogous facts, the courts held a spouse liable for knowing receipt in the following amounts: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 liable for all funds attributable to "family expenses", i.e. those expenses for which both spouses were responsible and/or received a benefit;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liable for funds solely attributable to the expenses of the receiving spouse alone;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0% liable for any funds not attributable to these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Treaty Group Inc. v. Simpson</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[2001] O.J. No. 725</w:t>
        </w:r>
      </w:hyperlink>
      <w:r>
        <w:rPr>
          <w:rFonts w:ascii="arial" w:eastAsia="arial" w:hAnsi="arial" w:cs="arial"/>
          <w:color w:val="000000"/>
          <w:sz w:val="20"/>
          <w:lang w:val="en-US" w:eastAsia="en-US" w:bidi="ar-SA"/>
        </w:rPr>
        <w:t xml:space="preserve"> (S.C.J.), a husband was found liable for knowing receipt of money stolen by his wife from her employer. The court held, at paras. 21 and 24,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...Most of the funds were likely dissipated in supporting the joint lifestyle of the Defendants, which was more luxurious than could be carried by their own resources. There is no evidence that Beverly Simpson dissipated the funds alone, on an alcohol, drug or gambling problem, although she undoubtedly argued [sic] some personal property, such as clothing or jewellery.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extent of Robert Simpson's enrichment cannot be determined with precision, as the Defendants have frittered away the funds and know but have not disclosed how funds were dissipated. At his pre-trial examination under oath Robert Simpson refused to answer many questions which could have shed light on these issues. He has failed to produce some of his financial records for the relevant time period. The Defendants obviously both have knowledge of the lifestyle they enjoyed together while Beverly Simpson was employed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absence of evidence that would allow a precise attribution of the funds received, the court held,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Given the spousal relationship and the cohabitation of the parties, the dissipation of the funds and the flow of funds for the benefit of Robert Simpson, it is reasonable to conclude that he benefited by improvements to his real property, acquisition of personal property and an improved lifestyle to the extent of one half the money stolen or $130,975.90 and the Plaintiff will recover judgment against him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This approach to quantum was followed in </w:t>
      </w:r>
      <w:r>
        <w:rPr>
          <w:rFonts w:ascii="arial" w:eastAsia="arial" w:hAnsi="arial" w:cs="arial"/>
          <w:i/>
          <w:color w:val="000000"/>
          <w:sz w:val="20"/>
          <w:lang w:val="en-US" w:eastAsia="en-US" w:bidi="ar-SA"/>
        </w:rPr>
        <w:t>Cambrian Excavators</w:t>
      </w:r>
      <w:r>
        <w:rPr>
          <w:rFonts w:ascii="arial" w:eastAsia="arial" w:hAnsi="arial" w:cs="arial"/>
          <w:color w:val="000000"/>
          <w:sz w:val="20"/>
          <w:lang w:val="en-US" w:eastAsia="en-US" w:bidi="ar-SA"/>
        </w:rPr>
        <w:t>. In that case, the court held, on a motion for summary judgment, at paras. 53 and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It is true that I cannot determine with precision how much Frank [the receiving spouse] benefited. However, at least with respect to the funds diverted into their joint accounts and their Visa account, I do not see, in the circumstances of this case, how a trial judge would be in a better position to make this assessment. There is no evidence that the money was used for anything but family expenses such as mortgage and utility payments, food, and so on, from which the whole family, including Frank benefited. There is no evidence, for example, that Suzanne gambled the money away or used it for illicit drugs or fancy clothes or any other purpose exclusive to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 am prepared to grant judgment against Frank for one half of the amount deposited to their joint accounts and their Visa. According to Ms. Shaver's affidavit, $118,822.60 of the funds can be traced directly to their Visa accounts, and $268,685.07 of the funds can be traced directly to their joint personal line of credit and joint savings account at the CIBC. The total of these amounts is $387,507.67, and there will be judgment against Frank for one half of that amount, distributed between the plaintiffs proportionately in relation to the amount of the funds diverted which belonged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court declined to find the receiving spouse liable for the rest of the stolen funds because there was insufficient evidence to establish a benefit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While neither </w:t>
      </w:r>
      <w:r>
        <w:rPr>
          <w:rFonts w:ascii="arial" w:eastAsia="arial" w:hAnsi="arial" w:cs="arial"/>
          <w:i/>
          <w:color w:val="000000"/>
          <w:sz w:val="20"/>
          <w:lang w:val="en-US" w:eastAsia="en-US" w:bidi="ar-SA"/>
        </w:rPr>
        <w:t>Treaty Group</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Cambrian Excavators</w:t>
      </w:r>
      <w:r>
        <w:rPr>
          <w:rFonts w:ascii="arial" w:eastAsia="arial" w:hAnsi="arial" w:cs="arial"/>
          <w:color w:val="000000"/>
          <w:sz w:val="20"/>
          <w:lang w:val="en-US" w:eastAsia="en-US" w:bidi="ar-SA"/>
        </w:rPr>
        <w:t xml:space="preserve"> involved children eligible for support, in my view, such expenses are properly characterized as "family expenses" and ought to be shared equally between the spouses. Once a child is no longer eligible for support, in my view, any funds spent on that adult child can no longer be characterized as family expenses and should be attributed to the adult child, the misappropriating spouse and/or the receiving spouse,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now turn to quantifying the amounts Mr. Moscipan is liable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two main issues in quantifying the amounts Mr. Moscipan is liable for relate to the proper categorization of the expenses incurred by the Moscipan family and the absence of specific spending records from 2003 to 2005. I will deal first with the categorization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VCHA retained Chuck Young of Clearpoint Consulting to prepare statements of income and expenses for the Moscipan family based on the banking and credit card statements of Mr. and Ms. Moscipan and the credit card statements of Brian Moscipan. Mr. Young created a general ledger to record all income and expenses for the Moscipan family from 2006 to 2011. He also created separate ledgers to categorize specific types of expenses. Expenses were recorded as: food; household; auto and vehicle; personal; travel; Pay Pal; miscellaneous (named); other (meaning expenses that could not be categorized); and service fees and charges. Many of these general categories had sub-categories of expenses. For example, "household expenses" are broken down to include such things as mortgage, insurance, utilities and telecommunication expenses and "personal expenses" are broken down to include such things as clothing, entertainment and education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impossible to determine precisely which expenses were family expenses, which expenses benefitted exclusively Mr. Moscipan, which expenses benefitted exclusively Ms. Moscipan and which expenses benefitted exclusively Miranda or Brian after they were no longer children eligible for support. I must, however, do the best I can on the limited evidence before me. In doing so, I draw the following conclusions and take the following approach:</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Miranda turned 19 in 2003 and Brian in 2008. While the financial records show expenses related to education, the evidence was not clear regarding which amounts were paid in relation to which child in which years. That said, given the ages of Miranda and Brian and the extent of educational expenses incurred in the years immediately after each would have graduated from high school, it is apparent that Miranda was likely a child eligible for support for at least several years after she turned 19 and that Brian was likely a child eligible for support until at least close to the end of Ms. Moscipan's conversion and fraud. I will, therefore, attempt to exclude expenses related to Amanda after 2006 and a few expenses related to Brian in 2011 only.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banking and credit card records, I accept that Mr. Moscipan personally led a "frugal" life, in the sense that he spent little on himself for such things as expensive clothing or vacations. I will consider all expenses incurred by Mr. Moscipan to be "family expenses". Any items that were purchased exclusively for the benefit of Mr. Moscipan that have been characterized as family expenses will be offset by any items that were purchased exclusively for the benefit of Ms. Moscipan that have likewise been characterized as family expenses.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many entries in the records related to purchases at stores such as Holt Renfrew, Nordstrom's, Macy's, Banana Republic and lululemon. Some of these have been categorized as personal expenses under the subcategory of "clothing, shoes and jewellery" while others have been categorized as household expenses under the subcategory of "department and big box stores". I consider the majority of these expenses to have been of exclusive benefit to Ms. Moscipan, very few to have been of any specific benefit to Mr. Moscipan and some to have been of benefit to the children. As the majority of these expenses were recorded as "clothing, shoes and jewellery", I will consider 75% of those amounts to have been of exclusive benefit to Ms. Moscipan. To reflect the amounts of specific benefit to Mr. Moscipan and the children, I will consider 25% of the expenses categorized as "clothing, shoes and jewellery" and 100% of the amounts categorized as "department and big box stores" to have been family expenses.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travel expenses, I accept that Mr. Moscipan did not go on any family vacations. While I heard generally about vacations to Mexico and Hawaii, I only heard specific details about one trip and that was the trip that Ms. Moscipan took with Miranda to Hawaii after Ms. Moscipan began feeling unwell in the spring of 2010. This was at a time when the evidence suggests that Miranda was no longer a child eligible for support (she would have been 25 or 26 at the time). I have concluded that some travel expenses were of exclusive benefit to Ms. Moscipan and some were of exclusive benefit to Miranda after she was no longer a child eligible for support. Doing the best I can, I find that 40% of the travel expenses were of exclusive benefit to Ms. Moscipan or Miranda after Miranda was no longer a child eligible for support and that 60% were family expenses.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auto and vehicle expenses, some of these must relate to Amanda after 2006 and a few likely relate to Brian after he was no longer a child eligible for support. Doing the best I can, I will exclude 20% of the auto and vehicle expenses after 2006 and consider the remaining 80% to be a "family expense". This exclusion will reflect that there were numerous drivers in the household and that the majority of the expenses related to the acquisition, fueling, maintenance and insurance of the vehicles is likely attributable to Mr. and Ms. Moscipan for family purposes.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categorize everything else as a "family expense".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estimate amounts for 2003 to 2005 based on the amounts Ms. Moscipan obtained from the VCHA by her conversion and fraud in those years and the family's spending patterns in the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now turn to the "math".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From 2006 to 2011, the Moscipan family spent $31,457.89 on "clothing, shoes and jewellery". I will exclude 75% of this amount or, rounding to the nearest one hundred dollars, $23,600 as being of exclusive benefit to Ms. Moscipan.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From 2006 to 2011, the Moscipan family spent $41,016.69 on "travel". I will exclude 40% of this amount or, rounding to the nearest one hundred dollars, $16,400 as being of exclusive benefit to Ms. Moscipan, or Miranda after she was no longer eligible for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From 2007 to 2011, the Moscipan family spent $124,043.16 on "auto and vehicle". I will exclude 20% of this amount or, rounding to the nearest one hundred dollars, $24,800 as being of exclusive benefit to Miranda and Brian after they were no longer eligible for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total, from 2006 to 2011, I find that $64,800 was of exclusive benefit to Ms. Moscipan and/or Miranda and Brian after Miranda and Brian were no longer eligible for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on my earlier findings, between March 31, 2003 and January 31, 2005, Ms. Moscipan's theft from and fraud against the VCHA totalled $42,016.72. According to the records, during the balance of 2005, her theft from and fraud against the VCHA totalled a further $99,201.56. Between 2003 and 2005, Ms. Moscipan's theft from and fraud against the VCHA, therefore, totalled $141,218.28. By difference, between 2006 and 2011, Ms. Moscipan's theft from and fraud against the VCHA totalled $433,428.23.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Between 2006 and 2011, I have found $64,800, or 15%, of Ms. Moscipan's conversion and fraud against the VCHA in those years to have been exclusively for the benefit of other family members, primarily Ms. Moscipan. Given that all of the children were eligible for support prior to 2006, I consider it appropriate to use a somewhat smaller percentage to determine how much of Ms. Moscipan's theft from and fraud against the VCHA between 2003 and 2005 was of exclusive benefit to other family members. Based on 12.5%, and rounding to the nearest one hundred dollars, I find that between 2003 and 2005, $17,700 of Ms. Moscipan's theft from and fraud against the VCHA was used exclusively for the benefit of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Based on all of these calculations, throughout the course of her theft from and fraud against the VCHA, a total of $82,500 was of exclusive benefit to other family members. That means, of the $574,646.51 obtained by Ms. Moscipan by theft from and fraud against the VCHA, $492,146.51 is properly characterized as a family expense. Applying the authorities I have cited, Mr. Moscipan must pay restitution of half this amount, or $246,073.26, to the VCHA.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Mr. Moscipan be ordered to pay aggravated</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damages to the VCHA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VCHA submits that Mr. Moscipan ought to be ordered to pay aggravated damages in order to deter others from behaving as he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Respectfully, to achieve the objective of deterrence, the VCHA should have characterized its submission as a request for punitive damages. As the Notice of Civil Claim includes a claim for punitive damages, I will analyze whether punitive damages against Mr. Moscipan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case law makes clear that aggravated damages may only be awarded for the purpose of compensating the plaintiff while punitive damages are designed to punish the defendant: </w:t>
      </w:r>
      <w:r>
        <w:rPr>
          <w:rFonts w:ascii="arial" w:eastAsia="arial" w:hAnsi="arial" w:cs="arial"/>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1098-1099 and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157. The case law also makes clear that punitive damages are the appropriate vehicle to achieve the objectives of retribution, denunciation and deterrence: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paras. 43 and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Awards of punitive damages are rare. In </w:t>
      </w:r>
      <w:r>
        <w:rPr>
          <w:rFonts w:ascii="arial" w:eastAsia="arial" w:hAnsi="arial" w:cs="arial"/>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xml:space="preserve"> at para. 68, Bastarache J. for a majority of the Supreme Court of Canada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...[T]his Court has stated that punitive damages should "receive the most careful consideration and the discretion to award them should be most cautiously exercised"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at pp. 1104-5). Courts should only resort to punitive damages in exceptional cases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69)... Another important thing to be considered is that conduct meriting punitive damages awards must be "harsh, vindictive, reprehensible and malicious", as well as "extreme in its nature and such that by any reasonable standard it is deserving of full condemnation and punishment"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at p. 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Mr. Moscipan did not conduct himself in a "harsh, vindictive, reprehensible and vindictive" way. He did not actively participate in his wife's fraud. In fact, I have concluded that she fooled him, just as she fooled the VCHA. While Mr. Moscipan should reasonably have been put on inquiry, he subjectively believed there was an innocent explanation to the source of his wife's wealth, namely money from her father. There is no justification in the circumstances of this case to make an award of punitive damages against Mr. Moscipan.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any event, even though deterrence is not an objective of compensatory damages (including aggravated damages), it is nonetheless a consequence of them. Punitive damages should be awarded to deter conduct only if compensatory damages are insufficient to do so: </w:t>
      </w:r>
      <w:r>
        <w:rPr>
          <w:rFonts w:ascii="arial" w:eastAsia="arial" w:hAnsi="arial" w:cs="arial"/>
          <w:i/>
          <w:color w:val="000000"/>
          <w:sz w:val="20"/>
          <w:lang w:val="en-US" w:eastAsia="en-US" w:bidi="ar-SA"/>
        </w:rPr>
        <w:t>Honda</w:t>
      </w:r>
      <w:r>
        <w:rPr>
          <w:rFonts w:ascii="arial" w:eastAsia="arial" w:hAnsi="arial" w:cs="arial"/>
          <w:color w:val="000000"/>
          <w:sz w:val="20"/>
          <w:lang w:val="en-US" w:eastAsia="en-US" w:bidi="ar-SA"/>
        </w:rPr>
        <w:t xml:space="preserve"> at para. 69 and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respectful view, the restitutionary award made against Mr. Moscipan is adequate to send a message to others that they do not stand to benefit from the misdeeds of others when they know or ought to know of ill-gotten gains. However characterized, there is no need for any further award against Mr. Moscipan.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a half interest in the family home fraudulently conveyed to Mr. Moscipan such that the conveyance must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March 3, 2011, Ms. Moscipan transferred a one half interest in the Tennyson property to Mr. Moscipan for "$1.00 and other valuable consideration". The declared value of the property on the Form A transfer was $863,000. The VCHA seeks to set aside the transaction as a fraudulent conveyance.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legislation and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Fraudulent Conveyance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is brief. Its two sections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conveyance to avoid debt or duty of others</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made to delay, hinder or defraud creditors and others of their just and lawful remedies</w:t>
      </w:r>
    </w:p>
    <w:p>
      <w:pPr>
        <w:numPr>
          <w:numId w:val="2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of property, by writing or otherwise,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or</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void and of no effect against a person or the person's assignee or personal representative whose rights and obligations are or might be disturbed, hindered, delayed or defrauded, despite a pretence or other matter to the contrary.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Act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apply to a disposition of property for good consideration and in good faith lawfully transferred to a person who, at the time of the transfer, has no notice or knowledge of collusion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number of the legal principles relevant to determining the question of whether a disposition was intended to delay, hinder or defraud creditors of their just and lawful remedies are summarized in </w:t>
      </w:r>
      <w:r>
        <w:rPr>
          <w:rFonts w:ascii="arial" w:eastAsia="arial" w:hAnsi="arial" w:cs="arial"/>
          <w:i/>
          <w:color w:val="000000"/>
          <w:sz w:val="20"/>
          <w:lang w:val="en-US" w:eastAsia="en-US" w:bidi="ar-SA"/>
        </w:rPr>
        <w:t>Trustees of the IWA - Forest Industry Pension Plan v. Leroy</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2017 BCSC 158</w:t>
        </w:r>
      </w:hyperlink>
      <w:r>
        <w:rPr>
          <w:rFonts w:ascii="arial" w:eastAsia="arial" w:hAnsi="arial" w:cs="arial"/>
          <w:color w:val="000000"/>
          <w:sz w:val="20"/>
          <w:lang w:val="en-US" w:eastAsia="en-US" w:bidi="ar-SA"/>
        </w:rPr>
        <w:t xml:space="preserve"> at paras. 17-21. I can summarize the principles of relevance to these proceedings as follows: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only intent required to void a transaction is the intent to put assets out of the reach of creditors. No further dishonest or blameworthy intent is required: </w:t>
      </w:r>
      <w:r>
        <w:rPr>
          <w:rFonts w:ascii="arial" w:eastAsia="arial" w:hAnsi="arial" w:cs="arial"/>
          <w:i/>
          <w:color w:val="000000"/>
          <w:sz w:val="20"/>
          <w:lang w:val="en-US" w:eastAsia="en-US" w:bidi="ar-SA"/>
        </w:rPr>
        <w:t>Abakhan &amp; Associates Inc. v. Braydon Investments Ltd.</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2009 BCCA 521</w:t>
        </w:r>
      </w:hyperlink>
      <w:r>
        <w:rPr>
          <w:rFonts w:ascii="arial" w:eastAsia="arial" w:hAnsi="arial" w:cs="arial"/>
          <w:color w:val="000000"/>
          <w:sz w:val="20"/>
          <w:lang w:val="en-US" w:eastAsia="en-US" w:bidi="ar-SA"/>
        </w:rPr>
        <w:t xml:space="preserve"> at paras. 72-73.</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"Intent is a state of mind and a question of fact":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xml:space="preserve"> at para. 74.</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Intention can be presumed if a disposition had the effect of hindering, delaying or defeating creditors, but there is no rule of law that such an intention must be inferred from the effect of the disposition: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xml:space="preserve"> at para. 75 and </w:t>
      </w:r>
      <w:r>
        <w:rPr>
          <w:rFonts w:ascii="arial" w:eastAsia="arial" w:hAnsi="arial" w:cs="arial"/>
          <w:i/>
          <w:color w:val="000000"/>
          <w:sz w:val="20"/>
          <w:lang w:val="en-US" w:eastAsia="en-US" w:bidi="ar-SA"/>
        </w:rPr>
        <w:t>Mawdsley v. Meshen</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2012 BCCA 91</w:t>
        </w:r>
      </w:hyperlink>
      <w:r>
        <w:rPr>
          <w:rFonts w:ascii="arial" w:eastAsia="arial" w:hAnsi="arial" w:cs="arial"/>
          <w:color w:val="000000"/>
          <w:sz w:val="20"/>
          <w:lang w:val="en-US" w:eastAsia="en-US" w:bidi="ar-SA"/>
        </w:rPr>
        <w:t xml:space="preserve"> at para. 71, leave to appeal ref'd, </w:t>
      </w:r>
      <w:hyperlink r:id="rId1028" w:history="1">
        <w:r>
          <w:rPr>
            <w:rFonts w:ascii="arial" w:eastAsia="arial" w:hAnsi="arial" w:cs="arial"/>
            <w:i/>
            <w:color w:val="0077CC"/>
            <w:sz w:val="20"/>
            <w:u w:val="single"/>
            <w:shd w:val="clear" w:color="auto" w:fill="FFFFFF"/>
            <w:lang w:val="en-US" w:eastAsia="en-US" w:bidi="ar-SA"/>
          </w:rPr>
          <w:t>[2012] S.C.C.A. No. 182</w:t>
        </w:r>
      </w:hyperlink>
      <w:r>
        <w:rPr>
          <w:rFonts w:ascii="arial" w:eastAsia="arial" w:hAnsi="arial" w:cs="arial"/>
          <w:color w:val="000000"/>
          <w:sz w:val="20"/>
          <w:lang w:val="en-US" w:eastAsia="en-US" w:bidi="ar-SA"/>
        </w:rPr>
        <w: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consideration is inadequate or nominal, a creditor need only show that the transferor intended to delay, hinder or defraud creditors. The intention of the transferee only comes into play where valuable consideration has passed: </w:t>
      </w:r>
      <w:r>
        <w:rPr>
          <w:rFonts w:ascii="arial" w:eastAsia="arial" w:hAnsi="arial" w:cs="arial"/>
          <w:i/>
          <w:color w:val="000000"/>
          <w:sz w:val="20"/>
          <w:lang w:val="en-US" w:eastAsia="en-US" w:bidi="ar-SA"/>
        </w:rPr>
        <w:t>Sutton v. Oshoway</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2011 BCCA 245</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On the question of presumptions and intent, once "badges of fraud" are shown to be present, a presumption of fraud arises. While the burden of proof remains with the plaintiff, an evidentiary burden lies with the parties to the conveyance to explain the circumstantial evidence of fraud: </w:t>
      </w:r>
      <w:r>
        <w:rPr>
          <w:rFonts w:ascii="arial" w:eastAsia="arial" w:hAnsi="arial" w:cs="arial"/>
          <w:i/>
          <w:color w:val="000000"/>
          <w:sz w:val="20"/>
          <w:lang w:val="en-US" w:eastAsia="en-US" w:bidi="ar-SA"/>
        </w:rPr>
        <w:t>Kelly v. Gonzalez</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2014 BCSC 1269</w:t>
        </w:r>
      </w:hyperlink>
      <w:r>
        <w:rPr>
          <w:rFonts w:ascii="arial" w:eastAsia="arial" w:hAnsi="arial" w:cs="arial"/>
          <w:color w:val="000000"/>
          <w:sz w:val="20"/>
          <w:lang w:val="en-US" w:eastAsia="en-US" w:bidi="ar-SA"/>
        </w:rPr>
        <w:t xml:space="preserve"> 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at para. 42, the court cited the following non-exhaustive list of badges of fraud which had been adopted by the Court of Appeal in </w:t>
      </w:r>
      <w:r>
        <w:rPr>
          <w:rFonts w:ascii="arial" w:eastAsia="arial" w:hAnsi="arial" w:cs="arial"/>
          <w:i/>
          <w:color w:val="000000"/>
          <w:sz w:val="20"/>
          <w:lang w:val="en-US" w:eastAsia="en-US" w:bidi="ar-SA"/>
        </w:rPr>
        <w:t>Banton v. West Coast Landfill Diversion Corp.</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2004 BCCA 293</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of the debtor's financial affairs at the time of the transaction, including his income, assets and debts;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parties to [the] transfer;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disposition on the assets of the debtor, i.e. whether the transfer effectively divests the debtor of a substantial portion or all of his assets;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haste in making the disposition;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transfer relative to notice of debts or claims against the debtor;</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transferee gave valuable consideration [for]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will consider each of these factors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(1): The state of the debtor's financial affairs at the time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circumstances of this case, Ms. Moscipan is not alleged to have transferred half of the Tennyson property to Mr. Moscipan to protect herself. She is alleged to have transferred half of the Tennyson property to protect her family. The fact that she was in good financial health at the time of the transfer is, therefore, less important than other cases. The fact is that she was in good financial health only because of her conversion and fraud and she was dying. While her transfer of the half interest in the Tennyson property made sense from an estate planning perspective, it also made sense from the perspective of Ms. Moscipan attempting to insulate her family from the consequences of her conversion and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(2): The relationship between the parties to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relationship between the parties to the transfer could not have been closer. Ms. Moscipan transferred the half interest in the Tennyson property to her husband.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(3): The effect of the disposition on the assets of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transfer constituted one half of, by far, Ms. Moscipan's most valuable asset, namely the family home. While Ms. Moscipan only transferred a one half interest in the family home, that interest was registered in joint tenancy such that the other half of the Tennyson property was transferred to Mr. Moscipan, by operation of law, on Ms. Moscipan's death. I have to conclude that Ms. Moscipan knew full well that she was, in reality, transferring her entire interest in her most valuable asset to Mr. Moscipan.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(4): Evidence of haste in making the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the transfer of the half interest in the Tennyson property was not made as soon as Ms. Moscipan became aware of concerns about her activities at UBC, it was completed as soon as the title to the property was free and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(5): The timing of the transfer relative to notice of claims against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the earliest that Ms. Moscipan had notice that her employers would soon discover her conversion and fraud was in the spring of 2010 when Dr. Ehlen asked her about the $250,000 that was missing from one of his research fund accounts. Ms. Moscipan covered her tracks through a lie but must have known that tactic would only work for so long. That Ms. Moscipan was concerned about getting caught is evident from the fact that she discontinued her theft from and fraud against the VCHA between January 20, 2010 and September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next thing that must have caused Ms. Moscipan concern about getting caught was her failing health. By September 2010, the Moscipans knew that Ms. Moscipan was dying. Ms. Moscipan had to have known that her conversion and fraud would be detected when she no longer unilaterally controlled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also consider it telling that Ms. Moscipan resumed her theft from and fraud against the VCHA immediately after the Moscipans met with the notary public and put a plan in place that included transferring the half interest in the Tennyson property to Mr. Moscipan, knowing the other half would be transferred to him on Ms. Moscipan's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Finally, the transfer occurred on March 3, 2011, after Ms. Moscipan was no longer exclusively responsible for the books at UBC. She was aware that Dr. Cundiff had concerns about her performance and had hired another person to assist him in managing the finances of the Department. I accept Dr. Cundiff's evidence that Ms. Moscipan was not cooperative with Dr. Cundiff and his new staff, including by obstructing their access to important financial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Though Ms. Moscipan continued to convert and defraud funds from the VCHA right up until her termination from UBC in November 2011, by the time of the transfer of the half interest in the Tennyson property to Mr. Moscipan on March 3, 2011, Ms. Moscipan must have known that the jig would soon be up.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Factor (6): Whether the transferee gave valuable consideration for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the transfer of the half interest in the Tennyson property was made for "$1.00 and other valuable consideration", relying on family law principles, Mr. Moscipan submits that half interest in the Tennyson property was, in fact, already his. He points to the contributions he made to the original acquisition of the property and his efforts as a stay-at-home parent as the real consideration he gave for the half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While I did not receive substantive submissions from either party on family law principles, and leaving aside the issue of possible exclusions, it is apparent that Mr. Moscipan likely had some interest in the Tennyson property at the time of the transfer on March 3, 2011. The property was purchased during the marriage and, therefore, likely falls within the definition of "family property" in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and its predecessor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first issue is to properly characterize the nature of Mr. Moscipan's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 spouse's interest in family property is an equitable interest which is "inchoate and dormant" until the occurrence of a triggering event within the meaning of the applicable legislation: </w:t>
      </w:r>
      <w:r>
        <w:rPr>
          <w:rFonts w:ascii="arial" w:eastAsia="arial" w:hAnsi="arial" w:cs="arial"/>
          <w:i/>
          <w:color w:val="000000"/>
          <w:sz w:val="20"/>
          <w:lang w:val="en-US" w:eastAsia="en-US" w:bidi="ar-SA"/>
        </w:rPr>
        <w:t>Blackman v. Davison</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(1987), 12 B.C.L.R. (2d) 24</w:t>
        </w:r>
      </w:hyperlink>
      <w:r>
        <w:rPr>
          <w:rFonts w:ascii="arial" w:eastAsia="arial" w:hAnsi="arial" w:cs="arial"/>
          <w:color w:val="000000"/>
          <w:sz w:val="20"/>
          <w:lang w:val="en-US" w:eastAsia="en-US" w:bidi="ar-SA"/>
        </w:rPr>
        <w:t xml:space="preserve"> (C.A.) at para. 5. The process of crystallization of the right to an interest in family property was described in </w:t>
      </w:r>
      <w:r>
        <w:rPr>
          <w:rFonts w:ascii="arial" w:eastAsia="arial" w:hAnsi="arial" w:cs="arial"/>
          <w:i/>
          <w:color w:val="000000"/>
          <w:sz w:val="20"/>
          <w:lang w:val="en-US" w:eastAsia="en-US" w:bidi="ar-SA"/>
        </w:rPr>
        <w:t>Newton v. Crouch</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2016 BCCA 115</w:t>
        </w:r>
      </w:hyperlink>
      <w:r>
        <w:rPr>
          <w:rFonts w:ascii="arial" w:eastAsia="arial" w:hAnsi="arial" w:cs="arial"/>
          <w:color w:val="000000"/>
          <w:sz w:val="20"/>
          <w:lang w:val="en-US" w:eastAsia="en-US" w:bidi="ar-SA"/>
        </w:rPr>
        <w:t xml:space="preserve"> at paras. 44-45 as occurring on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second issue is whether it is possible to fraudulently convey legal title to a property a person already has a beneficial interest in. The answer, in my view,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Bayerische Landesbank v. Seiber</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2015 ONSC 27</w:t>
        </w:r>
      </w:hyperlink>
      <w:r>
        <w:rPr>
          <w:rFonts w:ascii="arial" w:eastAsia="arial" w:hAnsi="arial" w:cs="arial"/>
          <w:color w:val="000000"/>
          <w:sz w:val="20"/>
          <w:lang w:val="en-US" w:eastAsia="en-US" w:bidi="ar-SA"/>
        </w:rPr>
        <w:t>, the court dealt with an alleged fraudulent conveyance in which the defendant, through a series of transactions, transferred a property from himself to a trust of which he was a beneficiary and which he also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court emphasized the breadth of Ontario's virtually identical fraudulent conveyance legislation, stating at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Courts have long noted that the phrasing of section 2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[which is equivalent to our s. 1] is very broad. It does not limit the form of the conveyances that it catches, except to require that an intent to defraud creditors be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court went on to find that there had been a series of fraudulent conveyances, summarizing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As outlined in Part VI above, Mr. Sieber has in effect engineered the transfer of the Property from himself to Sieber Farms - which is nothing more than Mr. Sieber himself and Helga - and then to Rosen Ridge - which is nothing more than Mr. Sieber himself and the Foundation of which he is a beneficiary. Rosen Ridge has provided no adequate explanation as to why the Property went from Mr. Sieber to Mr. Sieber in a different guise, and why Mr. Sieber, who has been adjudged bankrupt, can continue to enjoy the revenue and other benefits produced by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court, therefore, set aside the conveyances.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While not identical - Mr. Moscipan did not transfer the property to himself - the </w:t>
      </w:r>
      <w:r>
        <w:rPr>
          <w:rFonts w:ascii="arial" w:eastAsia="arial" w:hAnsi="arial" w:cs="arial"/>
          <w:i/>
          <w:color w:val="000000"/>
          <w:sz w:val="20"/>
          <w:lang w:val="en-US" w:eastAsia="en-US" w:bidi="ar-SA"/>
        </w:rPr>
        <w:t>Bayerische Landesbank</w:t>
      </w:r>
      <w:r>
        <w:rPr>
          <w:rFonts w:ascii="arial" w:eastAsia="arial" w:hAnsi="arial" w:cs="arial"/>
          <w:color w:val="000000"/>
          <w:sz w:val="20"/>
          <w:lang w:val="en-US" w:eastAsia="en-US" w:bidi="ar-SA"/>
        </w:rPr>
        <w:t xml:space="preserve"> case emphasizes the ability of the legislation to capture all forms of conveyances and supports the idea that legal title may be fraudulently conveyed to a person who already enjoys some form of beneficial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third issue is whether Mr. Moscipan gave good consideration for the transfer of the half interest in the Tennyson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 v. v. M.(L.)</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2004 BCSC 512</w:t>
        </w:r>
      </w:hyperlink>
      <w:r>
        <w:rPr>
          <w:rFonts w:ascii="arial" w:eastAsia="arial" w:hAnsi="arial" w:cs="arial"/>
          <w:color w:val="000000"/>
          <w:sz w:val="20"/>
          <w:lang w:val="en-US" w:eastAsia="en-US" w:bidi="ar-SA"/>
        </w:rPr>
        <w:t xml:space="preserve">, WM transferred his only asset, the family home, to his wife LM when he knew that his step-daughter was suing him for damages for his sexual abuse of her. The transfer was set aside. Holmes J. found that "natural love and affection" was not "good consideration" as contemplated by s. 2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Holmes J. did not have an adequate evidentiary basis to tackle the next question, which was whether the eventual award of damages to LB took priority over LM's family law claim to a one half interest in the house. Holmes J. left that issue for future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Applying the authorities I have cited, in the circumstances of this case, I conclude that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applies to the transfer of the half interest in the Tennyson property to Mr. Moscipan and that Mr. Moscipan did not give good consideration for the transfer.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fraudulent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Though of varying strengths, all of the badges of fraud identified by the Court of Appeal in </w:t>
      </w:r>
      <w:r>
        <w:rPr>
          <w:rFonts w:ascii="arial" w:eastAsia="arial" w:hAnsi="arial" w:cs="arial"/>
          <w:i/>
          <w:color w:val="000000"/>
          <w:sz w:val="20"/>
          <w:lang w:val="en-US" w:eastAsia="en-US" w:bidi="ar-SA"/>
        </w:rPr>
        <w:t>Banton</w:t>
      </w:r>
      <w:r>
        <w:rPr>
          <w:rFonts w:ascii="arial" w:eastAsia="arial" w:hAnsi="arial" w:cs="arial"/>
          <w:color w:val="000000"/>
          <w:sz w:val="20"/>
          <w:lang w:val="en-US" w:eastAsia="en-US" w:bidi="ar-SA"/>
        </w:rPr>
        <w:t xml:space="preserve"> are present in this case such that a presumption of fraud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Because Mr. Moscipan did not provide valuable consideration for the transfer, the fact that he subjectively believed the transfer to be for estate planning purposes is irrelevant. Only Ms. Moscipan's intent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Though unbeknownst to Mr. Moscipan, the circumstances make it readily apparent that at least part of Ms. Moscipan's intent in transferring the half interest in the Tennyson property to Mr. Moscipan was to protect her family by delaying, hindering or defeating the VCHA. That Ms. Moscipan may also have had a coincident legitimate estate planning objective does not rebut the presumption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all of the circumstances, I must set aside the March 3, 2011 transfer of the half interest in the Tennyson home from Ms. Moscipan to Mr. Moscipan. Having set aside this transfer, the subsequent transfer of the remaining half interest in the Tennyson property on August 8, 2012 to Mr. Moscipan as the surviving joint tenant will necessarily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As was the case for the receiving spouse in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Mr. Moscipan can raise his family law interest in the Tennyson property if the home is sold to satisfy the judgment against the estate of Ms. Moscipan.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all of these reasons, I make the following order:</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VCHA shall have judgment against the estate of Ms. Moscipan in the amount of $574,646.51.</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VCHA shall have judgment against Mr. Moscipan in the amount of $246,073.26.</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transfer of a one half interest in the property at 3328 Tennyson Crescent, North Vancouver, British Columbia, being legally known and described as Lot 13, District Lot 2003, Plan 1404 (PID 007-959-338) from Wanda Moscipan to Miroslaw Moscipan is declared void and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grant leave to the VCHA to address the issue of costs. If the VCHA does not do so by February 28, 2018, the VCHA shall have its costs at the scale for matters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thank counsel for the VCHA for the efficient and organized presentation of their case and Mr. Moscipan for (mostly) focussing on the 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L.S. MARCHAND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Von Eugen v. Leger, [2010] B.C.J. No. 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S48664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186 A.C.W.S. (3d) 1170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Dagmar Waltraud Von Eugen, Plaintiff, and Les Leger and Jeffrey Phillip Wasserstrom also known as Jeff Wasserstrom, Defendants, and Matthew Breedlove,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39"/>
      <w:bookmarkEnd w:id="266"/>
      <w:r>
        <w:rPr>
          <w:rFonts w:ascii="arial" w:eastAsia="arial" w:hAnsi="arial" w:cs="arial"/>
          <w:b/>
          <w:color w:val="000000"/>
          <w:sz w:val="20"/>
          <w:lang w:val="en-US" w:eastAsia="en-US" w:bidi="ar-SA"/>
        </w:rPr>
        <w:t>Real property law — Real estate agents and brokers — Agent's duties to principal — Liability — Application by the third party, Breedlove, for summary dismissal of the defendant Leger's third party claim against him dismissed — Breedlove acted as real estate agent for the purchaser, Leger and the vendor, Wasserstrom — Financing clause in the agreement of purchase and sale was removed by Breedlove — Leger alleged that Breedlove falsely represented that financing had been obtained — It was not clear from the evidence that no duty of care existed — Evidence did not show that Leger did not rely on Breedlove's representations — Not an appropriate case for summary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Trials — Summary trials — Availability — Application by the third party, Breedlove, for summary dismissal of the defendant Leger's third party claim against him dismissed — Breedlove acted as real estate agent for the purchaser, Leger and the vendor, Wasserstrom — Financing clause in the agreement of purchase and sale was removed by Breedlove — Leger alleged that Breedlove falsely represented that financing had been obtained — It was not clear from the evidence that no duty of care existed — Evidence did not show that Leger did not rely on Breedlove's representations — Not an appropriate case for summary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Agency — Liability of agent to principal — Application by the third party, Breedlove, for summary dismissal of the defendant Leger's third party claim against him dismissed — Breedlove acted as real estate agent for the purchaser, Leger and the vendor, Wasserstrom — Financing clause in the agreement of purchase and sale was removed by Breedlove — Leger alleged that Breedlove falsely represented that financing had been obtained — It was not clear from the evidence that no duty of care existed — Evidence did not show that Leger did not rely on Breedlove's representations — Not an appropriate case for summary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8"/>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Breedlove, for summary dismissal of the defendant Leger's third party claim against him. Leger and another defendant, Wasserstrom, entered into an agreement for the sale of a house and land with the plaintiff Von Eugen. Breedlove acted as real estate agent for both sides. The agreement of purchase and sale was conditional upon Leger obtaining suitable financing for the purchase. The financing clause was removed in an addendum prepared by Breedlove. The agreement was never completed. The plaintiff alleged that Leger wrongfully repudiated the agreement. Leger alleged that Breedlove falsely represented that suitable financing had been obtained, thereby inducing Leger into agreeing to remove the financing clause.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33"/>
            <w:bookmarkEnd w:id="26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clear from the evidence that Leger would not be able to prove that there was a special relationship between him and Breedlove sufficient to give rise to a duty of care. The evidence did not prove that Leger did not rely on Breedlove's representations. The issues were not suitable for determination by summary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33"/>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 Rule 40(27)(d)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39"/>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Third Party (the Applicant): J. Forsythe.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Leger: P.G. Theocharis.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D. Perry.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39"/>
      <w:bookmarkEnd w:id="271"/>
      <w:r>
        <w:pict>
          <v:line id="_x0000_s1235"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D.A. HALFYARD J."/>
            <w:bookmarkEnd w:id="272"/>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party, Matthew Breedlove, under Rule 18A, for summary trial of the defendant Les Leger's third-party claim against him; and if that application is granted, Mr. Breedlove seeks final judgment dismissing the third-party claim against him,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does not oppose the application of the third party. Counsel for the plaintiff attended the hearing, but took no position and made no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Les Leger ("Leger"), opposes the application on the ground that the issues between him and the third party Matthew Breedlove ("Breedlove") are not suitable for determination by summary trial, by reason of conflicts in the affidavit evidence on important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summarize the facts which gave rise to this law suit. As I understood it, these facts were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and the defendants (Leger and Jeffrey Phillip Wasserstrom) entered into an agreement on or about August 25, 2006, whereby the plaintiff agreed to sell and the defendants agreed to purchase a house and land at 202 Elizabeth Street in Qualicum Beach for the price of $675,000. The closing date was September 27, 2006. The defendants were required to pay, and did pay, a deposit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Breedlove was acting as real estate agent for both the plaintiff vendor and the defendant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a term of the contract that the defendants' obligation to purchase was subject to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obtaining suitable financing at terms and conditions and at an interest rate acceptable to the buyers on or before September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"subject to" clause (together with another "subject to inspection" clause) was removed by the defendants by an addendum to the contract prepared by Mr. Breedlove and signed by the defendants, on September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owned the property in question in joint tenancy with Richard Kraatz, until September 25, 2006, when Mr. Kraatz transferred all his interest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did not complete the purchase. I infer that the failure to complete was a deliberate refusal. The plaintiff commenced this action against the defendants on November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alleged that the defendants had wrongfully repudiated the contract and sought remedies of specific performance and damages in the alternative. The plaintiff alleges that she was ready, willing and able to complete on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filed separate statements of defence, but they now appear to be represented by the same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Leger's amended statement of defence was filed on October 4, 2007. I would summarize the relevant allegations in his statement of defence, as follows: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Breedlove that he required financing on certain specific terms, which included monthly mortgage payments of not more than $2,000.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5, 2006, Mr. Breedlove represented to him that suitable financing had been obtained.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relied on Mr. Breedlove's said representation in removing the "subject to financing" condition of the contract, on September 5, 2006.</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Breedlove made the said representation in order to induce him to remove the "subject to financing" condition.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later discovered that Mr. Breedlove's representation was untrue, in that the financing that had been obtained was not on the terms required by him (that is, the monthly mortgage payments would be in excess of $2,000).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Breedlove (and/or the plaintiff) owed him a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loss as a result of relying upon and acting on Mr. Breedlove's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Leger counterclaimed for rescission of the contract, and return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Also on October 4, 2007, Mr. Leger filed a third-party notice against Mr. Breedlove in which he claims that if he (Leger) is found liable to the plaintiff, then any damages he has to pay the plaintiff should be recoverable by him from Mr. Breedlove. Mr. Leger's third-party claim incorporates the allegations in his amended statement of defence. There are additional pleadings that Mr. Breedlove was negligent in falsely representing to him that suitable financing had been obtained; that Mr. Breedlove knew or ought to have known that Leger would rely on his said representation; that Mr. Breedlove owed a duty of care to Mr. Leger; and that he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were alleged in the third-party notice (relating to the plaintiff's ownership of the property), which were abandoned on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statement of defence to the third-party claim, Mr. Breedlove denied the essential allegations made by Mr. Leger. It was alleged that the defendants had retained a mortgage broker and had not relied on anything said by Mr. Breedlove in removing the "subject to financing" condition of the contract. In the alternative, it was specifically denied "that the defendants relied or reasonably relied" on anything that may have been said by Mr. Breedlove.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presented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The evidence of the applicant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support of this application, counsel for Mr. Breedlove relies on the evidence given by Mr. Breedlove in his affidavit sworn April 4, 2008. The substance of that evidence, may be summarized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acted as dual agent for both the plaintiff and the defendants concerning the purchase and sale of the property in question.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Mr. Leger nor Mr. Wasserstrom ever told him anything about specific terms of mortgage financing that they required, and never told him that the monthly loan payments could not exceed $2,000.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Leger asked him to recommend a mortgage broker, and he gave Mr. Leger the names of two mortgage brokers, Keith Woods and Cathie Kanani.</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knowledge of any dealings or discussions between the defendants and Mr. Woods, with respect to obtaining mortgage financing for the purchase of the plaintiff's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never asked to obtain financing for the defendants, nor did he ever offer to do so.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5, 2006, Mr. Woods called him and told him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he had spoken with Messers. Leger and Wasserstrom and that financing had been approved for their purchase of their property. (paragraph 5)</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 . . September 5, 2006, I spoke with Mr. Leger who confirmed that financing had been approved and I arranged to have the Subject Removal Addendum faxed to him and Mr. Wasserstrom for their signatures." (paragraph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Breedlove does not directly deny that he told Mr. Leger that suitable financing had been obtained, but such a denial is implicit in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The Evidence of Mr. Leger: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would summarize Mr. Leger's affidavit evidence (in affidavits sworn on July 10, 2008, and January 13, 2010)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Breedlove was acting as agent for both the plaintiff and the defendants.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2006, he told Mr. Breedlove that the defendants required mortgage loan financing on terms which included an interest rate of not more than 5%, and monthly payments of not more than $2,000.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Breedlove referred him to a mortgage broker named Keith Woods, who he (Mr. Breedlove) described as being a good friend of his.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make application for a mortgage loan through Keith Woods.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5, 2006, Mr. Breedlove called him and told him that suitable financing had been financing had been obtained by Keith Woods, and asked him to come to his (Mr. Breedlove's) office.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went to Mr. Breedlove's office where Mr. Breedlove repeated that mortgage financing for the purchase had been obtained by Mr. Woods, on the terms required by him and Mr. Wasserstrom.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(Leger) called Keith Woods from Mr. Breedlove's office and Mr. Woods told him that mortgage financing had been obtained on terms that were within his (Leger's) requirements, namely, that the interest rate would not exceed 5% and the monthly loan payments would not exceed $2,000.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his discussion with Mr. Woods he (Leger) discussed with Mr. Breedlove the terms of the financing that was being obtained by Mr. Woods.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what he had been told by Mr. Breedlove and Mr. Woods, he removed the "subject to financing" condition.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later found out that the mortgage loan financing that had been obtained would be at an interest rate more than 5%, and the monthly loan payments would be far in excess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Are the issues suitable for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applicant submits that the issues can be decided by summary trial and that the evidence presented by Mr. Leger is incapable of proving several essential elements of the cause of action for negligent misrepresentation. In essence, it is argued that the evidence cannot establish any of the following elements:</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Breedlove owed a duty of care to Mr. Leger;</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Leger relied on the alleged misrepresentation made by Mr. Breedlove; or</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reasonable for Mr. Leger to rely on Mr. Breedlove's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acknowledged that there are conflicts between the evidence of Mr. Leger and the evidence of Mr. Breedlove on several fact issues. But counsel for the applicant submits that the conflicts are unimportant, because a duty of care could never be proved and because Mr. Leger made admissions on examination for discovery which show that he did not rely on representations allegedly made by Mr. Breedlove as to financing being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essential elements required to constitute a cause of action for negligent misrepresentation were authoritatively stated by the Supreme Court of Canada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These essential elements are stated to be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"duty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applicant argued that in order to establish a duty of care on the part of Mr. Breedlove, it would have to be proved:</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Breedlove had special skill or knowledge respecting financing and mortgage terms;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the same circumstances as Mr. Breedlove would know that Mr. Leger was relying on his skill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making this argument, counsel relied on the Court of Appeal's summary of the essential elements of negligent misrepresentation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1986 Can LII 142; </w:t>
      </w:r>
      <w:hyperlink r:id="rId17" w:history="1">
        <w:r>
          <w:rPr>
            <w:rFonts w:ascii="arial" w:eastAsia="arial" w:hAnsi="arial" w:cs="arial"/>
            <w:i/>
            <w:color w:val="0077CC"/>
            <w:sz w:val="20"/>
            <w:u w:val="single"/>
            <w:shd w:val="clear" w:color="auto" w:fill="FFFFFF"/>
            <w:lang w:val="en-US" w:eastAsia="en-US" w:bidi="ar-SA"/>
          </w:rPr>
          <w:t>10 B.C.L.R. (2d)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evidence before the court to suggest that Mr. Breedlove has the special skill or knowledge in question. It was implicit in the applicant's argument on the duty of care issue that it would be impossible for Mr. Leger to ever prove that Mr. Breedlove had special skill or knowledge in the field of arranging large mortgage loans to enable the purchase of real estate, because that is not his profession. The logical extension of this point is that a trial of the third party claim would be a waste of time, because this essential element of the claim could never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Breedlove's profession is real estate agent or salesperson, and it appears highly improbable that Mr. Leger could ever prove that he had special skill or knowledge relating to mortgage financing. Consequently, if that skill or knowledge must be proved as a necessary component of any duty of care, the applicant's point will be well taken. If the third party claim could not succeed in law, even if the facts deposed to by Mr. Leger were proved to be true, the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should be kept in mind that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Mr. Justice Iaccobucci described the "duty of care" element in these words (at page 11 of the Can LII version):</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in his judgment (at p. 14 of the Can LII version), Iaccobucci J. expressed the opinion that the representor's profession was a relevant factor in deciding whether a "special relationship" existed between the parties. He then stated that this factor "should not be treated in all cases as a threshold requirement. There may be situations where the surrounding circumstances provide sufficient indicia of a duty of care, notwithstanding the representor's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my opinion, the test for determining whether a duty of care exists, as stated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has been broadened by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I am not persuaded that Mr. Leger will not be able to prove that a "special relationship" existed between him and Mr. Breedlove, sufficient to give rise to a duty of care. The strength of Mr. Leger's case is a different matter, but that issue does not arise at this stage. The applicant's first point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reliance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If the applicant can show that Mr. Leger made damaging admissions on examination for discovery which make his affidavit evidence untenable on the issue of reliance, then the court could properly decide whether Mr. Leger's evidence on that issue should be rejected. In that circumstance, the court could assess the credibility of Mr. Leger, by way of summary trial, on the issue of whether he relied on representations made by Mr. Breedlove. See </w:t>
      </w:r>
      <w:r>
        <w:rPr>
          <w:rFonts w:ascii="arial" w:eastAsia="arial" w:hAnsi="arial" w:cs="arial"/>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applicant reviewed portions of Mr. Leger's evidence given on examination for discovery on June 15, 2009, including questions and answers 350-355, 373-379 and 387-397. From this foundation, it was argued, in effect, that the only reasonable inference to be drawn from his discovery evidence is that Mr. Leger relied solely on the representations made to him by Mr. Woods, and not on those made by Mr. Breedlove.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begin with, I agree with the applicant's submission that the additional discovery evidence of Mr. Leger sought to be read in by his counsel, does not meet the "closely connected" test in Rule 40(27)(d). None of that evidence should be considered when assessing the extent of the admissions allegedly made by Mr. Breedlove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think it is obvious from Mr. Leger's discovery evidence at questions 394-395 that he did rely on what Keith Woods told him. But Mr. Leger never admitted that he did not also rely on what Mr. Breedlove told him, in making his decision to remove the "subject to financing"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affidavit sworn July 10, 2008, Mr. Leger admits that Keith Woods told him over the phone ". . . that the rate of interest would not exceed 5% and the monthly payment would not exceed $2,000 a month" (paragraph 14). Mr. Leger does not deny in that affidavit that he relied on what Keith Woods told him. In his affidavit sworn January 13, 2010, Mr. Leger deposes that he relied on the representations made by both Mr. Breedlove and Mr. Woods (paragraph 3). All of this evidence is consistent with the admissions he made on discovery. In my opinion, there is no contradiction between Mr. Leger's affidavit evidence, and the admissions he made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result, I reject the applicant's submission that the evidence proves that Mr. Leger did not rely on Mr. Breedlove's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That being the case, the applicant's argument seems to reduce down to the assertion that Mr. Leger cannot succeed on the issue of reliance because he did not rely solely on representations made by Mr. Breedlove. On that issue, counsel for Mr. Leger referred me to </w:t>
      </w:r>
      <w:r>
        <w:rPr>
          <w:rFonts w:ascii="arial" w:eastAsia="arial" w:hAnsi="arial" w:cs="arial"/>
          <w:i/>
          <w:color w:val="000000"/>
          <w:sz w:val="20"/>
          <w:lang w:val="en-US" w:eastAsia="en-US" w:bidi="ar-SA"/>
        </w:rPr>
        <w:t>Kripps v. Toche Ross &amp; Co.</w:t>
      </w:r>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(C.A.). In that case, Mr. Justice Finch (as he then was) wrote the majority judgment. At paragraphs 96-102, Finch J. reviewed the arguments of counsel and the relevant case law, relating to the essential element of reliance in an action for negligent misrepresentation. At paragraph 103, he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Justice Finch stated in paragraph 104 that it was not necessary for a plaintiff "to prove that the misrepresentation alleged to be relied upon was 'fundamental' to their decision." I conclude that the plaintiff does not have to prove that Mr. Breedlove's alleged misrepresentation was the only factor he relied upon, nor is it necessary for Mr. Leger to establish that Mr. Breedlove's misrepresentations were "fundamental" to his decision to remove the "subject to financing"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for the third party appeared to make an alternative argument that, even if Mr. Leger does claim to have relied on Mr. Breedlove's representations, this is not the kind of reliance that meets the requirements of the law. It was said (as I understood it) that Mr. Breedlove and Mr. Woods allegedly told Mr. Leger the same thing, and so Mr. Leger's asserted reliance on Mr. Breedlove's representations could not constitute a separate causal factor, in law. The case of </w:t>
      </w:r>
      <w:r>
        <w:rPr>
          <w:rFonts w:ascii="arial" w:eastAsia="arial" w:hAnsi="arial" w:cs="arial"/>
          <w:i/>
          <w:color w:val="000000"/>
          <w:sz w:val="20"/>
          <w:lang w:val="en-US" w:eastAsia="en-US" w:bidi="ar-SA"/>
        </w:rPr>
        <w:t>Lefebvre v. The Corporation of the District of Maple Ridge et al</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2006 BCSC 326</w:t>
        </w:r>
      </w:hyperlink>
      <w:r>
        <w:rPr>
          <w:rFonts w:ascii="arial" w:eastAsia="arial" w:hAnsi="arial" w:cs="arial"/>
          <w:color w:val="000000"/>
          <w:sz w:val="20"/>
          <w:lang w:val="en-US" w:eastAsia="en-US" w:bidi="ar-SA"/>
        </w:rPr>
        <w:t xml:space="preserve"> was cited as support for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found this submission to be confusing and illogical. Moreover, I do not think that the </w:t>
      </w:r>
      <w:r>
        <w:rPr>
          <w:rFonts w:ascii="arial" w:eastAsia="arial" w:hAnsi="arial" w:cs="arial"/>
          <w:i/>
          <w:color w:val="000000"/>
          <w:sz w:val="20"/>
          <w:lang w:val="en-US" w:eastAsia="en-US" w:bidi="ar-SA"/>
        </w:rPr>
        <w:t>Lefebvre</w:t>
      </w:r>
      <w:r>
        <w:rPr>
          <w:rFonts w:ascii="arial" w:eastAsia="arial" w:hAnsi="arial" w:cs="arial"/>
          <w:color w:val="000000"/>
          <w:sz w:val="20"/>
          <w:lang w:val="en-US" w:eastAsia="en-US" w:bidi="ar-SA"/>
        </w:rPr>
        <w:t xml:space="preserve"> case provides support for this argument. I reject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far the applicant's position has rested on the assumption that Mr. Breedlove had made the misrepresentation alleged by Mr. Leger. The next argument made by the applicant was based on the further assumption that Mr. Leger had relied on that misrepresentation. Two arguments were advanced. The first point argued was that it was unreasonable for Mr. Leger to rely on Mr. Breedlove's representations. The second was that Mr. Breedlove could not reasonably have known that Mr. Leger would rely on his representations. The second point was only raised by counsel for the applicant, in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seems to me that these arguments were intended to be made on the merits, and not on the procedural issue of the suitability of Rule 18A. If I am wrong, and the arguments are directed to the procedural issue, then I think the onus would be on the applicant to persuade the court that it could properly make one of the following findings: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the circumstances of Mr. Breedlove would not have known that Mr. Leger would rely on his representation that suitable financing had been obtained; or</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the circumstances of Mr. Leger would not have relied on the said representation made by Mr. Breedlove.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One obvious problem with these arguments is that the "circumstances" that existed are in dispute. Mr. Leger deposes that he told Mr. Breedlove all about the terms of the financing required by him and Mr. Wasserstrom and that having this knowledge, Mr. Breedlove told him on September 5, 2006, that financing had been obtained on the terms that they required. In his affidavit sworn April 4, 2008, Mr. Breedlove denies the first of those assertions directly and denies the second by necessary implication. In my opinion, before the "reasonable person" test can be applied, the court must make findings of fact as to what the circumstances actually were. And those findings cannot be made without an assessment of the credibility of Mr. Leger and Mr. Breedlove.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affidavit evidence of Martin Fekete, sworn January 13, 2010, if accepted, would confirm Mr. Leger's evidence that Mr. Breedlove told him that suitable financing had been obtained. Strangely, Mr. Breedlove never presented any evidence in response to Mr. Leger's account of being called by Mr. Breedlove on September 5, 2006, and as to what occurred in Mr. Breedlove's office on that day. From reading Mr. Breedlove's affidavit sworn April 4, 2008, one would never know that Mr. Leger had been in his office on September 5, 2006. But these conflicts and gaps in the evidence will have to be explored at trial, before the necessary findings of fact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writing the foregoing reasons, it occurred to me that there was a weakness in the third party's application which is more fundamental than those I had already identified. This flaw was not discussed or made apparent during the hearing, but was implicit in the applicant's position. In effect, counsel for the applicant was asking the court to assume the truth of certain facts, but only for the purpose of the present application. Those facts were, firstly, that Mr. Breedlove had made the representations that Mr. Leger claims he made; and secondly (in the alternative) that Mr. Leger relied on those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Such temporary assumptions of essential facts should not be made, even where all parties agree with that procedure (which was not the case here). See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In my opinion, this in itself is a sufficient reason for dismissing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that I am "unable, on the whole of the evidence before the court on the application, to find the facts necessary to decide the issues of fact or law." As a consequence, the issues raised on this application are not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further procedural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Counsel for the applicant accepted that the burden of proof rested on a third party who applied for dismissal of a third party claim to establish that the issues were suitable for determination by way of summary trial under Rule 18A. But it was submitted that, if this burden was met, then the defendant who was making the third party claim would bear the burden of proving (and would have to prove) that claim. I was referred to </w:t>
      </w:r>
      <w:r>
        <w:rPr>
          <w:rFonts w:ascii="arial" w:eastAsia="arial" w:hAnsi="arial" w:cs="arial"/>
          <w:i/>
          <w:color w:val="000000"/>
          <w:sz w:val="20"/>
          <w:lang w:val="en-US" w:eastAsia="en-US" w:bidi="ar-SA"/>
        </w:rPr>
        <w:t>Chen et al. v. The Owners "Jose Narvaez" et al.</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2003 BCSC 996</w:t>
        </w:r>
      </w:hyperlink>
      <w:r>
        <w:rPr>
          <w:rFonts w:ascii="arial" w:eastAsia="arial" w:hAnsi="arial" w:cs="arial"/>
          <w:color w:val="000000"/>
          <w:sz w:val="20"/>
          <w:lang w:val="en-US" w:eastAsia="en-US" w:bidi="ar-SA"/>
        </w:rPr>
        <w:t xml:space="preserve"> at paragraphs 24 - 26, a decision of Madam Justice Ross, in support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third party has failed to persuade me that the issues are suitable for determination by way of summary trial, and so it is unnecessary to decide the second branch of the applicant's submission. I would be inclined to agree with this submission, if the defendant making the third party claim had also applied for judgment on the claim pursuant to Rule 18A, but not otherwise. If the analogy holds between a plaintiff and a defendant who makes a third party claim, then I think either of them could successfully defend an application for dismissal of the claim, without actually proving their case on the merits. As I see it, in those circumstances where the respondent does not apply for judgment and the procedural hurdle had been overcome, the burden would remain with the applicant to show that the claim could not succeed. I think this could be done by disproving an essential element of the claim, by establishing a defence to liability or by showing that the claimant could not succeed in law, even if the facts alleged by the claimant could be proved. The claimant could take the position that none of these grounds had been made out, by presenting evidence or argument or both, without risking dismissal of the claim on the ground that the evidence was insufficient to establish all elements of the cause of action. But it seems to me that this point has not been clearly settled by previously decided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application of the third party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Where a party makes an unsuccessful application for final judgment under Rule 18A, the general rule is that costs will be in the cause, and will not be awarded against the applicant. See </w:t>
      </w:r>
      <w:r>
        <w:rPr>
          <w:rFonts w:ascii="arial" w:eastAsia="arial" w:hAnsi="arial" w:cs="arial"/>
          <w:i/>
          <w:color w:val="000000"/>
          <w:sz w:val="20"/>
          <w:lang w:val="en-US" w:eastAsia="en-US" w:bidi="ar-SA"/>
        </w:rPr>
        <w:t>Falkoski v. Osoyoos</w:t>
      </w:r>
      <w:r>
        <w:rPr>
          <w:rFonts w:ascii="arial" w:eastAsia="arial" w:hAnsi="arial" w:cs="arial"/>
          <w:color w:val="000000"/>
          <w:sz w:val="20"/>
          <w:lang w:val="en-US" w:eastAsia="en-US" w:bidi="ar-SA"/>
        </w:rPr>
        <w:t xml:space="preserve"> (1995), 40 C.P.C. (3d) 212 (B.C.S.C.) at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Costs were not specifically addressed at the hearing. If there is disagreement about the proper order for costs, a date may be arranged or (if more convenient) written submissions may be made on this issue. But notice of any request to argue the costs issue should be given to the trial scheduling manager within 10 days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VS Visual Statement Inc. v. Insurance Corp. of British Columbia, [2003] B.C.J. No. 1175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9 - 13, 16 - 20, 23 - 24,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 17, and October 1 - 2,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S000095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217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VS Visual Statement Inc.,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40"/>
      <w:bookmarkEnd w:id="273"/>
      <w:r>
        <w:rPr>
          <w:rFonts w:ascii="arial" w:eastAsia="arial" w:hAnsi="arial" w:cs="arial"/>
          <w:b/>
          <w:color w:val="000000"/>
          <w:sz w:val="20"/>
          <w:lang w:val="en-US" w:eastAsia="en-US" w:bidi="ar-SA"/>
        </w:rPr>
        <w:t>Fraud and misrepresentation — Misrepresentation — Elements of actionable misrepresentation — Negligent misrepresentation — Action for economic loss arising from misstatement.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9"/>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VS Visual Statement against the Insurance Corporation of British Columbia (ICBC) for breach of copyright, negligent misstatement and breach of confidence. VS developed a software program for insurance claim adjusters and attempted to sell it to ICBC. In 1998, ICBC approved it for a pilot project. In response to the pilot project, substantial changes were made to the software to comply with the ICBC system. VS made it clear that it would not be providing its full efforts to develop this product for ICBC if ICBC were running parallel development. ICBC assured VS that there was no parallel development, which was initially true but development began shortly thereafter. After the pilot project, the upper echelons of ICBC recommended that it be purchased. The recommendation ran into a road block because the pilot project had not followed internal protocol. After much political and media attention, the software was evaluated by ICBC and found lacking when compared to its internally created software. Some of the ICBC adjusters involved in the pilot project were in the focus group for ICBC's new product. Many of VS's ideas and concepts were exhibited in ICBC's product, but they used different tools and were written with different programming language. VS expended over 4,000 hours to train ICBC staff and modify the product for ICBC. ICBC did not end up using the software in house or profiting from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34"/>
            <w:bookmarkEnd w:id="275"/>
            <w:r>
              <w:rPr>
                <w:rFonts w:ascii="arial" w:eastAsia="arial" w:hAnsi="arial" w:cs="arial"/>
                <w:color w:val="000000"/>
                <w:sz w:val="20"/>
                <w:lang w:val="en-US" w:eastAsia="en-US" w:bidi="ar-SA"/>
              </w:rPr>
              <w:t>HELD: Action for negligent misstatement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VS was awarded general damages of $250,000. The circumstances between VS and ICBC gave rise to an obligation of confidence and the relationship gave rise to a duty of care. The assurances given to VS regarding parallel development were initially true, but lost their validity and were negligently reiterated. VS reasonably relied on those assurances, causing damage or detriment to it. VS was entitled to be compensated for its efforts in developing the software for ICBC. The damages were compensation for an effort VS would not have made had it known that ICBC had a similar product in development. The assessment of damages took into consideration that ICBC made a substantial contribution to the software development as it was the tester.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40"/>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Lunny and J. Dawson, for the plaintiff. D. Wotherspoon and A. Cameron,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0"/>
      <w:bookmarkEnd w:id="277"/>
      <w:r>
        <w:pict>
          <v:line id="_x0000_s1239" style="position:absolute;z-index:2518026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18,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CRAWFORD J."/>
            <w:bookmarkEnd w:id="278"/>
            <w:r>
              <w:rPr>
                <w:rFonts w:ascii="arial" w:eastAsia="arial" w:hAnsi="arial" w:cs="arial"/>
                <w:b/>
                <w:color w:val="000000"/>
                <w:sz w:val="30"/>
                <w:lang w:val="en-US" w:eastAsia="en-US" w:bidi="ar-SA"/>
              </w:rPr>
              <w:t>CRAWFORD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VS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Target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Contacts 1996 and 1997</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1998</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Pilot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Start-Up Of The Pilot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Pilot Success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Steps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Pilots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Evaluation Description of Problem</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Roadblock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Similar Prototype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 Potato"</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Kennedy Pushes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TCD Evaluation And Pilot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Suspicions</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Suspicions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"Similar Product"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1999-Visual CRIS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Steps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Evaluation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Copyright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Confidence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VS Visual Statement Inc., (VS) is a small British Columbia company. Its principals have a background in claims adjusting and accident reconstruction. They saw a potential niche market in developing software to help insurance claims adjusters. VS developed a software program to take claimants statements in a question and answer format. The claims adjuster could then put the questions to a potential claimant, type in the answers, and an accompanying computerized diagram would be created from the information to illustrate how the accident occurred, (e.g. at an intersection with the parties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the Insurance Corporation of British Columbia (ICBC), is one of the larger motor vehicle insurance companies in North America. During the time in question (1996 to 1999) ICBC was in the throes of change on several fronts, but in particular, with the absorption of the Motor Vehicle Branch, which meant that the insurer was also the licensor and registry for motor vehicles and drivers in British Columbia with a consequent increase in a variety of services, and quantity of information. Secondly, it was attempting to improve its customer service by computerizing certain services which eventually saw desktop computers being "rolled out" in 1998 and 1999 to claims adjusters and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VS on several occasions made contact with ICBC representatives regarding their software but with little success until late in 1998 when they received approval for a pilot project in the Kamloops Claims office. The pilot initially was not well received. VS responded by revising their program, modifying it to take into account ICBC's Responsibility Guide and the comments of the pilot adjusters. Eventually they developed software programs that won the users' approval in late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VS's program then went forward to other echelons of ICBC with a recommendation for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recommendations ran into a roadblock because the Kamloops pilot project had not followed internal protocols. Nor had there been any direction that the desktop software might have to be compatible with the mainframe computer sitting in ICBC's head office which contains the huge volume of information relating to each car, its owner, the various factors that contribute to premium calculation, addresses, driver history, and like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well, the success of the pilot program in Kamloops attracted newspaper and political attention so the issue within ICBC became somewhat of a "hot potato". The issue was referred to the vice presidential level and eventually the parties agreed to an evaluation of the software. Because ICBC's requirements differed from the desktop environment in which VS had developed the program, the evaluation, rather predictably, found the software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VS felt it had been duped.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launched this law suit claiming damages for breach of copyright, negligent mis-statement and 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ICBC responded that on the facts, and in law, there was no cause of action, and VS had not suffered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think it useful to set out the issues as I see them:</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Plainly, there was no contract, nor is there a claim for breach of contract;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breach of copyright?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breach of confidence?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negligent mis-statement?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Supreme Court of Canada decision in Martel Building v. Canada, </w:t>
      </w:r>
      <w:hyperlink r:id="rId224"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is a recent reminder that tort law is not to be used to save or rescue a commercial business relationship or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VS's principals were experienced in the insurance claims business. Mr. Kennedy brought to the company a background in claims adjusting and accident reconstruction, sufficient to be qualified to give evidence as an expert in the British Columbia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Luker has a background in engineering and computers, and also in accident reconstruction.</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ICBC noted in its annual report for 2001 that the Corporation insures 2.6 million premium-paying motorists. They are one of B.C.'s largest corporations. They are one of Canada's largest property and casualty insurers, taking in $2.4 billion in premiums and $425,000,000 in licence fees and fines. Each year some 1.1 million claims are made to 45 Claims Centres, Telephone Call Centres and other receiving areas. In 2001 payout of claims totalled $2.1 billion. Of the 1.1 million claims, most relate to material damage. Twenty percent of claims relate to bodily injuries but comprise fifty four percent of the claims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ICBC has been a leader in loss prevention, investing between $30 and $60 million a year on road safety programs. One of the advantages of the monopoly has been the development of crash/crime prevention. ICBC is able, with its information on location of claims, to pinpoint intersections that have a larger number of claims than usual, to view and assess such intersections and to take safety measures. Drinking/driving programs and video cameras at bad intersections are other pro-active steps that have been taken to reduce the motor vehicle carnage in British Columbia each year.</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Each insurance claim starts with a report from a claimant to the insurance company. Ordinarily that is done by the claims adjuster taking up his pen, making notes of the information and often turning it into a form of statement for the claimant to sign. Typically, the statement will recite the claimant's name, his personal details, date of the accident and how the accident happened, together with such damage to his motor vehicle and his person that has been caused by the accident. To illustrate how the accident happened, often a hand drawn diagram is compiled by the claims adjuster and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VS recognized that with the advent of the desktop computer, the opportunity for a standardized question and answer program to be developed, together with a diagramming tool to aid the claims adjuster in obtaining clear information from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practical objective was to shorten the time in taking the statement by a question and answer process. At the same time, the diagram function would help the adjuster to obtain better and clearer information, which would decrease later conflict about the cause of the accident and reduce arguments as to liability.</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Target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the outset, VS aimed considerable effort at selling its idea to ICBC. Mr. Kennedy and Mr. Luker had knowledge of ICBC's claims procedure. They had worked in the motor vehicle claims business themselves as adjusters and as accident re-construction experts and their programs were aimed at improving the customer service level for ICBC and the claims adjusters who would deal with the claimants.</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Contacts 1996 and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letter of February 7, 1996, VS wrote to Larry Rohan, Manager Information Services, advising that it was developing a PC based computer program for the use of automotive insurance adjusters and sought ICBC's input. They entitled the software package "Visual Statement". It comprised three tools: a word processing module, a drawing module and a two-dimensional animation module. The word processing module was in a formative state, a "fill in the blanks" list of information to be obtained from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5, 1996, a letter was sent to Guenter Raedler, Manager, Claims Technical Services. VS said it had been meeting with user groups and now had a software package comprising five modules, permitting an accident investigator to interview a driver or accident witness and using the tools to create a written statement, quickly prepare a scaled realistic graphic image of the accident site and recreate the motion of the accident as described by the interviewee. This letter of introduction led to a meeting with ICBC representatives, Mr. Ed Coutinho (Manager of Claims Division), Greg Smith (Manager of Technical Support in Claims Operations) and Dave Alexander (Business Systems Analyst).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Kennedy wrote to Mr. Alexander, on October 16, 1996, confirming the demonstration of VS's software. The letter noted:</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VS system must ultimately be able to integrate with ICBC's new "work bench" system,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needed to be done on the screen assembler interface to make it more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Kennedy stated they had consulted with their programmer who indicated the VS software would run on Windows NT with "no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advised they wished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continually receive input from yourselves so by the time it is installed as a pilot project at one of your claims centres, you will have confidence in the ability of the software to perform a useful and acceptable set of tools as part of your 'work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hand-written notes of the meeting, the second item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Mainframe: Talking between server and mainframe is a big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Silence fell. But VS continued to work on the software and on February 26, 1997, demonstrated the latest version of the software to Gordon Marwick (Business Analyst, Industrial Engineering Department), Peter Gossip, and Dave Alexander. On March 5, 1997, Mr. Kennedy wrote to Gordon Marwick.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paragraph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very much for taking the time to meet with us and provide us with your valuable input. Something we should have brought up at the beginning of the meeting was the agreement that was made between ourselves and your systems group at the time of our last meeting. From your staff at that meeting was Ed Coutinho, Greg Smith, and Dave Alexander. At that time we were exposed to the Corporation's new software claims management system. At that time an agreement was made between us that information about our and your software would not be shared with anyone else. Of course, we would like that agreement to continue through future meetings. Furthermore, we would not expect any of the information gained from yourselves about our software would be used by any of your in-house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like to ultimately sell ICBC our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VS offered the Statement Writer software at a price "quite likely less than $100 per unit plus installation and on-site training." There was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Kennedy gave evidence that on both occasions (October 1996 and February 1997)he was concerned that ICBC, within its own technical group, might be developing software tools that he would be competing against. He sought assurances that ICBC was not making a similar product and said he was assured by Mr. Coutinho at the first meeting (October 1996),and by Mr. Marwick at the second meeting (February 1997), that ICBC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Coutinho gave evidence and could not recall making such a statement. Nor did Mr. Smith have any such recollection. Mr Marwick did not give evidence. As of October 1996, it does appear ICBC was not in the process of developing a product similar to 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August 1997 a market assessment (financed through a research and technology grant) was obtained by VS to determine the viability of Visual Statement as a software package and advise on the best approach for marketing the product. The research paper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research also determined that there is no other software package that offers a simple method of recreating an accident scene in an expedient manner and with no training. And there is no software available designed for creating accident interview forms and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lengthy report went on to conclude the program had a strong future in four potential markets, namely, property and casualty insurance adjusters, police accident investigation squads, lawyers and accident reconstructionists. The researchers thought initial sales might be relatively small until market awareness was generated but once that was obtained, there was potential to generate sizeable sales and revenues. They noted to date (August 1997) that VS had developed Beta test versions of their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mid-1997 matters languished. ICBC became embroiled in the political debate about a "no fault" system. Eventually the decision was made to continue with the fault system.</w:t>
      </w:r>
      <w:r>
        <w:rPr>
          <w:rFonts w:ascii="arial" w:eastAsia="arial" w:hAnsi="arial" w:cs="arial"/>
          <w:sz w:val="20"/>
          <w:lang w:val="en-US" w:eastAsia="en-US" w:bidi="ar-SA"/>
        </w:rPr>
        <w:cr/>
      </w:r>
    </w:p>
    <w:p>
      <w:pPr>
        <w:numPr>
          <w:numId w:val="2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14, 1998, a further software demonstration was given by VS to Mr. Marwick, TCD staff, and "IT" staff. Mr. Luker wrote to Mr. Marwick January 20, 1998, expressing VS's appreciation for the meeting. Mr. Luker felt there was a possible role for a "statement writer" within ICBC, particularly in the Telephone Claims Department. With regard to Statement Writer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largest hurdles appear to be where it would fit into your work system. We are confident that our use of Windows 95/NT platform and the RIF format make the technical aspects of integration with your computer systems quite 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Telephone Claims Department ("TCD") is the initial contact for most British Columbians when they have a car accident and report their claim. When the claimant telephones ICBC, the telephone claims adjuster opens the file and enters the basic information onto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Luker made it clear that VS knew the software would have to be capable of working on a Windows 95/NT platform (which ICBC was introducing to its staff), and VS had a new programmer on staff with extensive experience in maintaining and developing code for large network systems. VS was more than willing to make any changes necessary to accommodate ICBC, including using question lists and key word lists supplied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24, 1998, VS wrote a letter to the then president, Tom Thompson, touting its product. The price of Statement Writer had climbed to $295 but VS was prepared to give ICBC a "substantial volume discount". It noted the product was complete and on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VS is located in Kamloops. A software demonstration to the ICBC Kamloops Claims office attracted attention. On April 3, 1998, M.J. Bruno of the Kamloops office wrote to Dan Miller, noting VS's Statement software to be very interesting and possibly useful, and worth trying as a pilot. Mr. Kennedy demonstrated the software to Mr. Gilfillan at Kamloops in August 1998. Mr. Gilfillan obtained permission to run a pilot at Kamloops from Mr. Coutinho of the IST Department, and Mr. Heritage. Permission was confirmed in Mr Coutinho's note of June 9, 1999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"sponsor group" at ICBC was to be the Dispute Resolution Group whose purpose was to reduce disputes on claims where liability was an issue. The taking of clear statements from the claimants at the claimant's initial interview with a standard list of questions, combined with the diagrammatic potential of the VS software seemed one possible way to reduce the liability issues and advance the DR department's stated purpose.</w:t>
      </w:r>
      <w:r>
        <w:rPr>
          <w:rFonts w:ascii="arial" w:eastAsia="arial" w:hAnsi="arial" w:cs="arial"/>
          <w:sz w:val="20"/>
          <w:lang w:val="en-US" w:eastAsia="en-US" w:bidi="ar-SA"/>
        </w:rPr>
        <w:cr/>
      </w:r>
    </w:p>
    <w:p>
      <w:pPr>
        <w:numPr>
          <w:numId w:val="2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pilot having received its blessing, Mr. Coutinho was instrumental in having a number of the new computers sent to and installed at Kamloops ICBC Claims Centre. It was to be a local pilot project. Mr. Bruno e-mailed Mr. Kennedy on October 27, 1998, requesting VS install the software at individual terminal installations as the software would not be able to be placed on the network because this was a "local pilot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Training sessions were undertaken. Some of the adjusters were not comfortable with computers, nor with the Windows operating system. By November 1, 1998, VS was installed in all the interview rooms and the B.I. rooms at the Kamloops Claims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Gilfillan was the initial person in charge of the project. In November 1998, Mr. Rick Gliege, a Regional Bodily Injury Manager with responsibilities both on Vancouver Island and in the Interior, took over responsibility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Gliege's letter of November 22, 1998, noted the pilot project was to continue and that he would take the software to other senior managers for their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VS trained 22 personnel from the Kamloops Claims Centre for two days, providing the personnel with three-ring binders setting out the training and the software, including basic accident scene measuring systems, statement taking techniques and the like. The training cost was $2,200, and software $1,492.65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Gliege decided to use the Nanaimo claims adjusters as a comparison group. He wanted to compare the effect, if any, the computerized tools would have in improving the claims adjusting process against the previous "dumb terminal" and pen and paper techniques.</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Start-Up Of The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4, 1999, Mr. Bruno wrote a letter to the Kamloops adjusters stating the pilot was starting that day and asking the adjusters to take at least one statement per week using the VS program, noting the time taken in making the statement and seeking any comments or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apparent that there were some hiccups along the way. The initial adjuster response was, at best, tepid, in part due to lack of computer knowledge on the part of some of the adjusters, the interface (the computer screen or graphical user interface "GUI") and the usefulness of the VS programs. This led to Mr. Gliege pushing hard for changes to the VS software in mid-February 1999. VS responded, devoting its resources over February, March, and April 1999, to re-writing the software. They re-wrote the questions and answers list. They made it more usable in the adjuster's hands; they built in ICBC's Responsibility Guide which sets out 29 potential accident situations with legal comment, and they improved the diagramming function. The new software was named "VS Lite".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March 11, Mr. Gliege was moved to say he was most impressed with the new software, (VS Lite) and that VS had done a great job in incorporating the needs of ICBC into the program while making it even easier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letter of March 11, 1999, Mr. Gliege advised Mr. Kennedy that John Stot from Corporation Learning and Development was most interested in the VS software,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something like this in the works about five years ago from a company out of Florida, but to John's knowledge there is nothing in the works like the VS corporately.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added bonus ...(Stot's) son at TCD (says)... they require something like 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question that information was important to VS. They had already sought assurance that there was no similar software in development within ICBC. Mr. Kennedy and Mr. Gliege had become good friends, and Mr Gliege had become convinced that the software now taking form as VS Lite was going to be of benefit to the frontline adjusters at ICBC, and the Dispute Resolution process. Mr Kennedy was understandably sensitive to VS's software meeting any competition. The prospect of competing with some internal development within ICBC would cause any businessman to re-think his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18, 1999, Mr. Kennedy forwarded the latest version of VS Lite noting the various improvements and providing a copy for Mr. Van Ryssel (Mr. Gliege's Manager in Dispute Resolution) to install on his own computer. He noted there were more changes going on and sought Mr. Van Ryssel's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VS continued improving the VS Lite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April 1, 1999, Mr. Gliege was starting to turn his mind to the next step in the ICBC process. If the VS Lite software was recommended, it would then go to "purchasing". Mr. Gliege wanted to know whether the purchasing department would want to go through a public tender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Kennedy was immediately concerned. Going to an open tender process, in his view, would immediately give competitors information about the very processes VS had a head start. In his letter of April 1, 1999 to Mr. Gliege, he indicated his concerns about going to tender. While respecting corporate policy, he felt that ICBC would not be considering a product such as VS Lite unless they had first seen it.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Nobody in ICBC thought at any time that they would like to see a program for taking statements in an automated, element based, question and answer format. No wonder. We invented this process and it exists nowhere else. Nobody, as far as we know, thought of looking for a quick scene diagramming tool before seeing ours - because it does not exist. The wording of the tender may, in itself, give away our secrets and inventions. This would be very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further noted, "We would like to get an NDA (Non Disclosure Agreement) signed before too long" and he wanted to see a high-level decision made soon so negotiations over the sales contract could be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Mr. Gliege and Mr. Kennedy continued to work hard on improving and upgrading the VS Lite program. By e-mail April 27, 1999, Mr. Gliege noted further improvements and modifications including a better object turning tool, more objects to choose from, improved question format, witness questions, and a separate screen to view the full question list while taking the statement. The work continued on through May.</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Pilot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May 26, Mr. Gliege wrote to all the adjusters thanking them for participating in the VS pilot in Kamloops. He noted he had spoken with both Dan Miller and Phil Vetter to advise them the pilot had now officially come to a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all of you to know that the Visual Statement Lite was presented to the products and services department and received a very positive response. As a result this department will be assisting me in completing a business case for a corporate-wide implementation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 went on to applaud the adjusters for their contribution to the development of the software.</w:t>
      </w:r>
      <w:r>
        <w:rPr>
          <w:rFonts w:ascii="arial" w:eastAsia="arial" w:hAnsi="arial" w:cs="arial"/>
          <w:sz w:val="20"/>
          <w:lang w:val="en-US" w:eastAsia="en-US" w:bidi="ar-SA"/>
        </w:rPr>
        <w:cr/>
      </w:r>
    </w:p>
    <w:p>
      <w:pPr>
        <w:numPr>
          <w:numId w:val="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Gliege's superior, Mr. Van Ryssel, was now planning the next steps. By his letter to Rene Marleau (Product and Service Department) on April 29, 1999,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follow up to our meeting regarding one of the projects that the Dispute Resolution department is working on. As you know one of our mandates is to analyse causes of disputes and make recommendations to reduce them. One area that is a key driver for disputes is the quality of investigation that effect the quality of our decisions. Specifically are statements, diagrams and the selling of our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working with an outside company who have developed a software program that we feel could satisfy our business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sought a meeting to demonstrate the product and to get the benefits of "your testing, analyzing and hopefully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May 6, Mr. Marleau said he would be interested in seeing the demonstration and would complete a preliminary evaluation form. The next step to get support and funding for "your" initiative was a feasibility study which he then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said a business analyst would be required for approximately three weeks to assist "you and your area" in completing the feasibility study. He said he would discuss availability with Rene Lacroix as well as the possibility of hiring someone if a business analyst was not available within a reasonable time frame. The letter was copied to Messes. Coutinho, Downing and Lacroix.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Van Ryssel contacted Mr. Gliege on May 6, 1999, asking him to draft a feasibility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May 28, 1999, the success of the pilot software development was made public. The Vancouver Sun reported a press conference held in Kamloops where M.L.A., Cathy McGregor, tried out the VS Lite program. Ms. McGregor applauded the work, noting the potential of the software program to save insurance companies "millions of dollars in attorney's fees and litigation costs". Mr. Gliege credited local managers Dan Miller and Phil Vetter and auto claims staff in Kamloops with providing valuable testing and design input into the creation of the software. ICBC spokesman, Ted Ockenden, noted the program had been well received by the adjusters, but cautioned "...We are optimistic it will work for us. We are still in the test phase."</w:t>
      </w:r>
      <w:r>
        <w:rPr>
          <w:rFonts w:ascii="arial" w:eastAsia="arial" w:hAnsi="arial" w:cs="arial"/>
          <w:sz w:val="20"/>
          <w:lang w:val="en-US" w:eastAsia="en-US" w:bidi="ar-SA"/>
        </w:rPr>
        <w:cr/>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Pilots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letter dated June 2, 1999, Mr. Kennedy forwarded a copy of VS Lite with a manual to Mr. John Erhardt at Telephone Claims Division for an evaluation. He provided technical information and advice and invited Mr. Erhardt's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same time there were discussions about another pilot at the larger 5th and Cambie ICBC Claims office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Unbeknownst to Mr. Kennedy, the tide was changing.</w:t>
      </w:r>
      <w:r>
        <w:rPr>
          <w:rFonts w:ascii="arial" w:eastAsia="arial" w:hAnsi="arial" w:cs="arial"/>
          <w:sz w:val="20"/>
          <w:lang w:val="en-US" w:eastAsia="en-US" w:bidi="ar-SA"/>
        </w:rPr>
        <w:cr/>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Exhibit 47 is a memorandum from Rene Marleau to Rene Lacroix (at OCMS) dated May 25, 1999. Entitled "Automated Accident Reporting", it attached PSD's preliminary evaluation for the proposal submitted by the Manager of Dispute Resolution, Gary Van Ryssel.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Marleau said he had seen a "demo" of VS Lite and from a technology point of view "it was quite slick",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step in the process is the development of a business case including a pilot in one of the Claim Centres in order to quantifying the benefits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preliminary evaluation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of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method for gathering a narrative statement for an accident is done by the adjuster who documents the customer's version of the events that took place. The adjuster may also complete a diagram as a visual aid to support the narrative description of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there are inconsistencies in the content of the statements and diagrams due to a lack of standards and structure. This can lead to improper investigations and inappropriate decisions which in turn can manifest into unnecessary disputes, litigation, delayed settlements and customer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Claims customers do not always feel ownership of the accident report. The documentation of customer narrative statements, supporting diagrams and corresponding MVA regulations could be improved by finding an economical solution which will enable the adjuster to gather the facts in a consistent, factual and timely basis with good customer buy-in.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ICBC purchase computer application software developed by VS Visual Statement Inc. This is the only software available on the market today to perform this function. It has been built to ICBC's specifications and can be integrated into ICBC's current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Managers assigned were Rene Marleau (PSD) and Rick Gliege, the user manager from Dispute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May 25, 1999, Mr. Marleau sent Mr. Gliege an outline of the information that needed to be included in the "business case", i.e., the presentation to be made to the purchasing department for the new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June 2, 1999, Mr. Rick Gliege wrote to the Manager of the Cambie Street Claims Centre, regarding a meeting to be held on Tuesday, June 15, 1999, with Mr. Van Ryssel, Mr. Gliege, a VS representative and the adjusters on the pilot to provide training on the VS Lite software. It was anticipated there would be nine adjusters on the project, six claims adjusters and three bodily injury adjusters. It was expected the pilot would last one month. This letter was copied to Mr. Marleau.</w:t>
      </w:r>
      <w:r>
        <w:rPr>
          <w:rFonts w:ascii="arial" w:eastAsia="arial" w:hAnsi="arial" w:cs="arial"/>
          <w:sz w:val="20"/>
          <w:lang w:val="en-US" w:eastAsia="en-US" w:bidi="ar-SA"/>
        </w:rPr>
        <w:cr/>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Early on the morning of June 3, 1999, Mr. Marleau wrote to Mr. Gliege and Mr. Van Ryssel. He was clear and emphatic. He stated the pilot was going ahead before there had been an analysis of the business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noted his main role was to ensure: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right players are involved in developing the business case and evaluating new products. In this case it is very important that Operations Change Management and Support (OCMS) and Information Systems Division (ISD) participate in the evaluation. Among other things, OCMS is responsible for the implementation, scheduling, training, etc. ISD is responsible for the technical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But Mr Marleau's about-face was not his doing. He had been impressed with the "demo" he had seen of VS Lite. The "roadblock" came from Mr Lacroix, (Operations Change Management and Support) whose thoughts were forwarded to Mr Marleau in writing dated June 4,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your request we do not have anyone to perform the work you request for the following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off why would we want to evaluate a software package that is similar to the one we are in the process of developing under CRIS. We already have a prototype done and the one we have is already integrated with the other databases in Claims some from Insurance and Licensing.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I strongly believe that you should have your own Product and Service Analysts to be able to perform this type of work which is feasibility studies. I presume that you will be receiving a lot of requests and you should do the preliminary screening with your own group. Once a project has been approved then we would assign the necessary business analysts to be part of the project team.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Thirdly pilot projects such as this one should never be allowed unless it follows the proper channels. These are the types of projects that will cause us nothing but additional work and grief if not political embarrassment.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Hope this answers your questions. If you wish to discuss further please don't hesitate to 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"Rene Z. Lacroix"</w:t>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Similar Prototype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return to Mr. Marleau's letter of June 3, 1999, to Messrs. Gliege and Van Ryssel.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my discussions with Anna Lee (ISD) and Rene Lacroix (OCMS) yesterday, I was informed that they have also developed a similar prototype and were not interested in participating in the evaluation of another product. Their major issue ... 'How could this have been developed without their involvement in the first place?' Claims Operational Systems had a similar function to OCMS prior to the corporate reorganization.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ICBC's corporate re-organization took place in 1997 and 1998. In my overall assessment of the evidence, ICBC went through a huge transition with the absorption of the Motor Vehicle Branch. This was plainly a difficult transition with departments changing, titles changing, personnel changing and it is not unfair to ICBC to infer that part of the case before me in terms of corporate responsibility must lie with the size of the corporation, the new responsibilities and personnel, and some lack of communication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Marleau concluded his observations by saying, "I cannot help you any more on this initiative until this issue is resolved." He recognized VS's contribution to the software development,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we have a political issue on our hands especially with the media exposure of Visual Statement received in the Vancouver Sun yesterday. This is why I have copied Doug on this memo.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understand that ICBC has been working with Visual Statement over the past four years and they have spent approximately 4,000 hours developing the product without charging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 I really think that everyone had the Corporation's best interests at heart in developing the Visual Statement product. It is unfortunate the proper channels were not used. I feel that we, as a Corporation, have to put that behind us and can only avoid potential political embarrassment by proceeding with a proper evaluation of the Visual Statement product along with the ICBC prototype. This issue will have to be escalated to Geri Prior and Guenter Raedler to get resolved since this initiative originated from your area. Do you want to escalate this issue? Regards, Rene.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"Doug" is Douglas Downing, a vice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Late in the evening of June 3, 1999, Mr Marleau e-mailed Van Ryssel and Downing, after viewing a "demo" of the ISD version of the accident reporting software. He found it as impressive as VS Lite, and was also impressed with the total integration of the information captured by CRIS at TCD, which he felt might not be easily done with VS Lite.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June 7, 1999, Van Ryssel e-mailed Downing, complaining no one in Claims was informed of the prototype being developed, that people such as Coutinho and Lacroix knew of the VS project, and why no one from ISD contacted him. He felt that there were real differences between the two software programs and "there still might be the possibility of a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Coutinho's e-mail to Mr. Lacroix the same day acknowledged his part in getting the pilot started, but that the project still had to meet business requirements, and he was concerned as to integration and the CCC project. He felt the tool (VS Lite) was a piece of software trying to find a "home", rather than ICBC "defining the business process and implementing a solution to meet the work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June 11, 1999, Mr. Lacroix in replying to a positive report on VS Lite, stated "there will be no further roll out of this software until a full evaluation has been completed". He noted the request for evaluation had been sent to Product and Service Development for further action.</w:t>
      </w:r>
      <w:r>
        <w:rPr>
          <w:rFonts w:ascii="arial" w:eastAsia="arial" w:hAnsi="arial" w:cs="arial"/>
          <w:sz w:val="20"/>
          <w:lang w:val="en-US" w:eastAsia="en-US" w:bidi="ar-SA"/>
        </w:rPr>
        <w:cr/>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 Potato"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"hot potato" having been warmed up, it was thrown in Mr. Downing's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Downing gave evidence. He is a decision-maker who has worked his way from the claims adjusting desk to the highest level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Downing impressed me as a decision-maker but, with respect, I think in this particular situation, he dithered. Perhaps he hoped that VS would eventually realize they had no contract with ICBC, nothing but a pilot which had received a recommendation which was all that had been promised and that if nothing happened, VS would simply go away and he would not need to make 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But even a non-decision creates its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April 1999, a "demo" of VS Lite was given to TSD, initially to Mr. Hankinson, then a group of TCD managers, supervisors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By letter of June 2, 1999, Mr. Kennedy forwarded VS Lite to the Telephone Claims Division's analyst, Mr. Erhardt, for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that time he also was expecting that the 5th and Cambie Claims Centre pilot would be starting shortly. While Mr. Kennedy did not know that a "similar prototype" had been developed in ISD, he soon started to sense that something was going awry.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supervisor of TCD, Mr. Hankinson, received Mr. Erhardt's approval of the VS Lite program and went ahead with installation of the software at the Telephone Claims Division in mid-July.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on-going correspondence with interested users of the VS Lite software in the Kamloops Claims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But the 5th and Cambie proposed pilot withered. By June 16, 1999, Mr. Kennedy had been informed that VS Lite had hit a roadblock, and he was seeking help from Mr. Gliege. And I gather that by early August 1999, VS was being shut out of the Kamloops Claims Centre.</w:t>
      </w:r>
      <w:r>
        <w:rPr>
          <w:rFonts w:ascii="arial" w:eastAsia="arial" w:hAnsi="arial" w:cs="arial"/>
          <w:sz w:val="20"/>
          <w:lang w:val="en-US" w:eastAsia="en-US" w:bidi="ar-SA"/>
        </w:rPr>
        <w:cr/>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Kennedy Pushes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By early August, Mr. Kennedy had enough information from Mr. Gliege and others in ICBC to realize the corporate silence was negative. He wrote to Mr. Gliege on the morning of August 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said all appeared well at TCD, that he realized there was a dissident third party outside of his contact group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I knew who 'them' is and what we can do to assist. If the actual decision on the purchase of the product is not with claims management - then who is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it be marketed regionally? Are we wasting our time? Have we wasted our time? I have noticed that Claims Centre Managers have a fairly liberal budget for many things and if our product has passed the tech due diligence - then can a Claims Centre Manager buy the product for the Centre? Is this dead? When can we reasonably get some decision? How do we get a decision? Can DR (Dispute Resolution) buy this? Rick, I did a lot of thinking on the weekend and these are the questions. You have said that we should just forget about ICBC and turn our attention in other directions. However, we have invested a great deal in ICBC and this deal. It is hard to just walk away.</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TCD Evaluation And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earlier noted, on June 2, 1999, Mr. Kennedy forwarded a copy of VS Lite with a manual to John Erhardt, the Technical Analyst with ICBC Telephone Claims Department. The letter sets out the functions and how the program can work. There are no limiting provisions in the covering letter from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June 9, Mr. Kennedy e-mailed Mr. Erhardt the evaluation of VS Lite; had it been installed and tested? Mr. Erhardt responded saying he had not as yet installed it as the software had been misdirected.</w:t>
      </w:r>
      <w:r>
        <w:rPr>
          <w:rFonts w:ascii="arial" w:eastAsia="arial" w:hAnsi="arial" w:cs="arial"/>
          <w:sz w:val="20"/>
          <w:lang w:val="en-US" w:eastAsia="en-US" w:bidi="ar-SA"/>
        </w:rPr>
        <w:cr/>
      </w:r>
    </w:p>
    <w:p>
      <w:pPr>
        <w:numPr>
          <w:numId w:val="3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June 11, 1999, Mr. Kennedy wrote to Syrena Bishop. Ms. Bishop is not in the Telephone Claims Department. She is in the ISD department (Information Systems, which appears to be the computer technical department of ICBC). In his letter, he said he had received Ms. Bishop's name from Mr. Erhardt and he enquired: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issue that has been raised previously was the possibility of integrating our graphic and statement making tools into CRIS. I have never been able to say if it is possible for many reasons - not the least of which is that I have never even seen CRIS.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And he then had a number of questions of a technical nature and then asked, "Is CRIS still in evolution? Is CRIS going anywhere outside of TCD? Is this an issue at all? Are (you) the right person to ask these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Bishop replied that she was not the right person to talk to and she had referred his queries to her manager in the ISD department, Anna Lee. No reply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June 22, Mr. Kennedy wrote to Mr. Hankinson asking if any of the staff were trying out the VS Lite. Mr. Erhardt had tested and passed the software, and that the program forms and text had been enlarged to work with the high resolution screen settings at TCD. Mr. Hankinson replied July 20, saying that he was just back in the office and would be following up with the team and would have more information by the end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July 16, 1999, Mr Hankinson authorised the VS Lite pilot at TCD, and the following day five adjusters started training on the VS Lite software. By coincidence ICBC held a meeting that same day with TCD regarding CRIS Pictorial.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August 3, Mr. Kennedy wrote to Azim Lalani, the TCD claims supervisor, asking if he could have the numbers and e-mail addresses of the testers and the supervisor as he wanted to conduct on site support. Two days later Mr. Kennedy forwarded the new version of VS Lite with the full screen for the TCD computer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August 5, Mr. Luker went to TCD to provide on site support. Mr. Kennedy's e-mail of August 12, 1999, to Mr Gliege said there was great feed-back from the adjusters and he hoped the full screen version was even more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Toward the end of the letter he said, "Please remember that this system is totally integratable with CRIS if we move forward from here." Then Mr. Kennedy e-mailed persons in ISD including Ms. Bishop and Ms. Haas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at TCD for some onsite support, we noticed your names as being part of the pilot group. We were not informed of your involvement and would like to be advised as to your role. Should we be contacting or meeting with you to discuss issues such as the integration of VS tools into your CRIS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Bishop forwarded the enquiry on to Mr. Lacroix and Anna Lee, asking them to respond to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Kennedy was becoming more suspicious. On Monday, August 16, 1999, he wrote to Mr. Gliege saying, "I have heard nothing from the testers at TCD and I feel something is going on that I do not know about. Can you please tell me what is going on?" Mr. Gliege responded saying he would call some of the people at TCD to see how VS is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then mailed his manager, Gary Van Ryssel,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is growing suspicious about the goings on. I feel someone, probably me, should inform him that his product is no longer even at TCD and put him out of his misery. Perhaps we should discuss some strategy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Van Ryssel promptly got back to him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Rick, I would prefer if you would no longer get involved. I suggest we wait until Doug gets back next week, then Mike can contact Steve Hankinson since it was Steve that made the arrangements with to test it at TCD. It is between them and Mike.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Gliege replied saying, "I'll remain mum on this subject. Hopefully this will resolve itself very soon and not turn into Visualgate!"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That was an interesting forecast of matters as they played out, for Mr. Gliege in fact became a source of information to Mr. Kennedy. I have no doubt that Mr. Gliege truly believed that VS had developed software that would be useful to claims and customer service, that no one had advised him or Mr. Van Ryssel that a similar product was under development at ICBC, and that he felt the corporate response to VS was unfair. To his credit, and his employers, he has kept his position at ICBC.</w:t>
      </w:r>
      <w:r>
        <w:rPr>
          <w:rFonts w:ascii="arial" w:eastAsia="arial" w:hAnsi="arial" w:cs="arial"/>
          <w:sz w:val="20"/>
          <w:lang w:val="en-US" w:eastAsia="en-US" w:bidi="ar-SA"/>
        </w:rPr>
        <w:cr/>
      </w:r>
    </w:p>
    <w:p>
      <w:pPr>
        <w:numPr>
          <w:numId w:val="3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can be seen, Mr. Kennedy was very much concerned that the Technical Department at ICBC (ISD) might take his work and use it for their own purposes, but while he had his suspicions, nothing of significance came to his attention until early September. Then followed a series of e-mail communiqués with Mr. Erhardt at TCD.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began on September 7, 1999, when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John; I was in OOPS (Out of Province claims) last week as I was asked to attend and retrieve software package I gave to you over one year ago. They tell me you sent it to head office which is why this took so long. I just assumed you had installed it at OOPS and they were happily making diagrams and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now I have to ask where my disks went and who had them, why, and why nobody ever communicated to me that they were being sent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told me at the time you were just going to check on the licensing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Erhardt wrote back on September 8,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returned the software to Bob Saito about six months ago. It went to head office at the time because they wished to look at the potential integration of it with CRIS, however, they never actually looked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No doubt that immediately alarmed Mr. Kennedy for he then wrote back to Mr. Erhardt: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know who Bob Saito is and who "they" are. I cannot imagine how they could answer the integration issue without talking to our team. By the way, the answer is yes in terms of integration.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reply from Mr. Erhardt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Bob Saito is a manager in OOP. I am not sure who actually had it at HO but think Claims Services had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Kennedy then wrote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John. Sorry to bug but this is all very important to us. Did the disk and documentation go to Claims Services before they went to Bob Saito or after? When the box was shipped to Claims Services, it must have been addressed to somebody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he also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when I shipped VS Lite to you for the technical due diligence, was it also shipped to Claims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being a reference to the copy of VS Lite forwarded with the letter of June 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Erhardt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software went to Bob after it came back from Head Office. It was so long ago, I cannot recall who I sent it to in Claims Services. Anyway, I don't think they looked at the product, hence the reason why we are doing that now. The software came back to me about 2-3 weeks later and sat at my desk until Bob requested it (in May some time). There was no indication as to who looked at it or if they actually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Kennedy wrote a further letter making various enquiries. There was no response.</w:t>
      </w:r>
      <w:r>
        <w:rPr>
          <w:rFonts w:ascii="arial" w:eastAsia="arial" w:hAnsi="arial" w:cs="arial"/>
          <w:sz w:val="20"/>
          <w:lang w:val="en-US" w:eastAsia="en-US" w:bidi="ar-SA"/>
        </w:rPr>
        <w:cr/>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"Similar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To deal with this issue, ICBC presented a history of its computer and software development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ICBC's primary witness was Ms. Syrena Sonja Bishop, who, since June 2001, had been Manager of Systems for the Claims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obtained a Computer Technician Diploma at B.C.I.T. in 1982, then employment as a software developer at Microtel. In 1985 she joined ICBC in the Information Systems Department (ISD). In 1998 she became a Senior Systems Analyst.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Her general responsibilities now are managing development of resources, and directing and translating business requirements into system requirements in all Claims Centres. Ms. Bishop provides support for the various "business"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ordinary development of business systems at ICBC starts with interested parties presenting their ideas to ICBC. ISD vets the application and, in a good project, they put together a "business case" to justify the cost. Once they develop a concept design, they translate the concept into a technical design and provide program specifics and gradually build up the database for the application. If it all goes well, it then goes into prototype construction; the prototype then goes into a user testing with a beta test squad. If it obtains user acceptance from this testing, there will be a migration to the actual working environment and implementation of the new program together with support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front line of ICBC's claims system is the Telephone Claims Department which takes ninety-five percent of provincial motor vehicle claims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claims are then divided into "simple" which are largely dealt with by Telephone Claims Department and "complex". Usually liability is in issue and the claim is forwarded to a Claims Centre. The Claims Centre then takes over from the Telephone Claims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1991 a Claims Work Management System (CWMS) was inaugurated. CWMS is a chronological log of file activity and claim information which is logged in from the claims centre to the mainframe on the North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CWMS had a statement taking capacity which were the adjuster's notes or summary of the claimant's evidence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CWMS linked the claims adjuster to the ICBC mainframe computer. In 1992 a Claims Initiation Review focussed on developing an electronic claim file, reducing the paper and increasing the amount of information taken down by the adjuster and put into the mainframe computer. Through to 1998, the claim adjusters worked with "dumb" terminals.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1994 saw the advent of Claims Reporting and Initiation System (CRIS). A 1995 report stated that the Telephone Claims Department had successfully taken on the "workbench" concept and that their "Level I" claims were being dealt with more quickly and cheaply. The more complex claims were being turned over to the Claims Centres, and the Claims Centres needed a better "workbench" (computer work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Save for one passing reference, there was no mention of statement taking or a diagram tool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many ways the objects of the Claims Work Management System were the same as VS. Both sought to provide a quicker and better computer software to the frontline claims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January 1996 a CRIS review noted that TCD were moving from the "dumb" terminal connected to the mainframe to personal computers on the adjuster's desk. As well, the focus was moving from claims information gathering to a corporate focus of information, the movement of information from the Claims Centres to the mainframe so that information was accessible to anyone within ICBC, with the appropriate access protocols.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CRIS pilot began in May 1996. It was planned to bring CRIS to all Centres. It was described as a new claim reporting system operating on a PC in the Telephone Claims Handling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is a gap in the defendant's documents from May 1996, until minutes of a meeting of April 8, 1998. VS made various presentations to ICBC during this time, notably in January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Bishop acknowledged in her evidence that she had attended a demonstration meeting with representatives of VS prior to the development of the diagramming tool at ICBC. I am satisfied that demonstration took place in January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Bishop said she thought Mr. Cudlip and Sonja Haas were also at the meeting when VS demonstrated their software. The demonstration went for more than an hour. She recalled Sonja Haas wanted to know if the prototype could integrate its technology. Ms. Bishop recalled seeing diagramming and statement-taking features, but not its operation. Her assessment was that it was rudimentary in its question and answer process and the diagramming tool did not have a lot of functionality. She felt that there was no advantage in seeing the VS prototype.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cross-examination she agreed that ICBC's concept of the diagramming tool arose in April or May 1998. She acknowledged that there had been a prior meeting with the VS representatives. She did not disagree with the suggestion that such a meeting might have taken place in January 1998. She agreed Ms. Haas was at that meeting but was uncertain about Mr. Marwick being in attendance. She did acknowledge that she and Ms. Haas worked in liaison with Mr. Marwick; that they were working in claims operations and there was a business liaison with the Claims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She acknowledged that while there had been a statement taking function and text statement in the CRIS process since 1993, it was not a question and answer process and there was no linking of the statement to an incident specific event in a series of questions and answers until mid-1999. That would have been after VS Lite was installed in TCD. She acknowledged CRIS did not have a question and answer statement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Bishop agreed that at the time VS did its pilot at Kamloops, ICBC's claims centres did not have CRIS, they only had the CWMS system. TCD had CRIS.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An ICBC innovation was CCC (Crime/Crash Contravention) which was aimed at locating high crash scenes and by assessment and review, reducing the incidence of crashes at those intersections. As well, it allowed for other potential crime detection, e.g., high areas of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CCC and CRIS were a natural mix, i.e., the claims reporting system would fix the location of an accident or the location of a theft on the initial claim, and then be plotted within the information systems available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Several ICBC documents were entered in evidence covering the mid portion of 1998. They contain the first references to a diagram function to aid the claims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April 8, 1998 minute of a group including Ms Bishop and Ms Haas considered changes in the CCC CRIS program, which involved in part the Microsoft NT conversion scheduled for February, 1999. Reference was made to a "a high level feasibility assessment of using pictorial techniques when implementing the new CCC data rather than adding text fields to screens." A pictorial design would add "value" to the TCD adjuster. There was concern this increase in scope would delay the February 1999 implementation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Bishop and Ms. Sonja Haas of the "claims division" participated. Ms. Haas has software development skills and appears with Ms. Bishop throughout the following documentation. Ms Haas was asked to rough out a pictorial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Bishop acknowledged that the change request in the CRIS system in April 1998 came from a focus group headed by Sonja Haas.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minute dated Friday, April 24, 1998, stated the purpose of the meeting was to review pictorial design estimates of CCC changes to CRIS, and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What's happened to get us here: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Sonja Haas provided CRIS Team with draft design of accident configuration with notes/ideas on how the screen would work.</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CRIS team has reviewed the screen design and subsequently met with Sonja Haas to flush out some questions.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Outstanding Items: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Screen review with TCD focus group (Action: Sonja Haas)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 pictorial design with Customer Service Workbench project manager (Gordon Marwick) and determine if the Incident Configuration screen is in their scope or CCC's (Action: Sonja Haas).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complicated than the original design but there are a number of actions that could be taken to mitigate the risk to give a high degree of confidence that we could meet the February 1999, delivery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document went on to indicate that at least three weeks worth of work would be needed in programming to develop "the pictorial style", i.e., a diagram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noted that computer language C++ would be used to develop the screen and possible technical issues would need to be addressed to get C(rest of CRIS) and C++(software languages) to work together. given a lack of expertise on the current team, outside expertise might be brought in. Training issues were also noted in terms of the NT implementation already starting and the potential additional features that the computerized pictorial design might bring.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 minute dated Friday, May 8, 1998, from Sonja Haas to Ms. Bishop, CRIS Project Manager Soroosh Sabet, CCC Project Leader Amanda Wong, and Project Leader Steve Stack of TP Systems summarised a meeting held with the CRIS TCD Focus Group on May 5, 1998. Ms. Haas gave a high level overview of the Group's purpose and the CCC project. Among the re-designs introduced was "the concept of a diagram tool" which was "very conceptual".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Design ideas included:</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selection of intersection or roadway sections to add vehicles, cyclists, pedestrians and witnesses to,</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ability to add landmarks, street names/types, block numbers to the diagram,</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creation of report using either the 'report tree' view or the 'diagram' view,</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clicking objects on diagram would open corresponding notebooks, just like the report tree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Some of the comments from the Group included:</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diagrams could tie in with the liability assessment guide;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like to have the option of entering information either on the notebook or on the diagram;</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configuration and pre-collision action ... Position A and B for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benefits of a diagram: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ability of a picture to provide a snapshot of the incident and piece together what happened in the accident before talking to the customer or making decisions; that most adjusters draw a crude diagram on notepads as they take the accident details and this would allow them to do in online. That would allow a matching of information to the diagram to see how accurate the information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Under the heading "Next Steps" it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Sonja and Dave will work with Steve and DR group to see if the liability assessment guide can be integrated with the diagram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Sonja Haas' minute dated May 8, 1998, of a meeting entitled "DR (Dispute Resolution) Liability Meeting May 6/98" was forwarded to Mr. Stack and Ms. Bishop. The attendees at the meeting are not listed. Discussion about a "liability guide" had started in November 1996, and included Mr. Gilfillan and pilot offices in Cranbrook and Penticton. The "liability guide" concept was to provide claims adjusters standard answers to liability questions. The note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facts of an incident support the scenario in the diagram, that's the liability decision that should be present, otherwise it should be considered contentious and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Questions were raised about whether the liability guide should be online or integrated with CRIS, and about the difference between the diagram tool proposed and the liability guide that the Dispute Resolution group were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terms of CRIS, a number of suggestions were made for input into a diagram tool. Eleven basic diagram types in the latest draft of the liability guide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 Crash/Crime Contravention project document subtitled "CCC CRIS2 change summary" dated May 13, 1998, added a change request to the information on the work book. The change request added Pictorial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Under the heading "Screen Design Scope" it was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consideration at this time is an additional dialogue to present the Incident Location Type as a "picture" which could make it simpler and easier to use for the adjuster. Confirmation with the TCD Focus Group is required prior to proceeding with this design option. It has been verified this is not in the scope of the customer service workbench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infer from that, that Mr. Marwick is not including this development within his jurisdiction. Mr Marwick was the Manager of the Customer Service Workbench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Participants listed in the CC CRIS Project included in the Project Team Syrena Bishop (ASD Claims), Sonja Haas (Claims Services) as well as ASD Manager (CCC) Anna Lee of ASD Claims. This was plainly a claims systems matter with claims services and ASD claims both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next note is dated June 28, 1998, and refers to the "CL75 Rollout/full use of CRIS", and reflects the start of the standard claim form used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CRIS users were now able to add vehicles and people to the list of information but it was still tied back to the limited functionality of the mainframe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 document from Mr. Stack dated July 24, 1998, records (July 8 and 15) brain storming sessions concerning a potential diagram tool; how it might be oriented; what objects could be placed on it; what moving objects, i.e., vehicles, pedestrians, cyclists could be placed on it; use of drag and drop tools of Microsoft, and the need to show pre-collision positions as compared to accident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This note was sent on to Wolf Schneider, a Programmer at TP Systems, seeking cost estimates for the CCC pictorial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 further meeting of August 11, 1998, recorded by Laurie Williams (a Graphics Designer) notes discussion by Mr. Stack and Ms. Bishop regarding the "pictorial design" and how it might be implemented. The meeting decided the pictorial design was desirable and should be constructed and incorporated into the CCC release for May/June 1999.</w:t>
      </w:r>
      <w:r>
        <w:rPr>
          <w:rFonts w:ascii="arial" w:eastAsia="arial" w:hAnsi="arial" w:cs="arial"/>
          <w:sz w:val="20"/>
          <w:lang w:val="en-US" w:eastAsia="en-US" w:bidi="ar-SA"/>
        </w:rPr>
        <w:cr/>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1999-Visual CRIS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There is then another gap in time and documents from August 1998 to April 1999, when Ms. Bishop forwarded a memorandum to Mr. Schneider regarding "Visual CRIS", pictorial design's new name. Ms. Haas was given a leave in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By April 1999, VS had been steadily working at ICBC Claims in Kamloops, its pilot having been approved in August of 1998, start up in January 1999, and recommendation given in May 1999. In April VS was nearing completion of the Visual Lite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Bishop's memorandum to Mr. Schneider sought refinement of the diagram prototype, asking for "Pre-collision action, identification of the front of a vehicle, i.e., an object on the picture" and various other technical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May 5, 1999, Ms. Bishop sent Mr. Schneider "Visual CRIS comments" and noted that with completion of "post-collision," there were only a couple of items left including:</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capture uninvolved vehicles;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top of the diagram should always indicate that is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enquiries as to:</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arrows to indicate direction of travel on the line between collision;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different colours;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drag and drop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Schneider's timesheets show his programming time on Visual CRIS design in February 1999; Visual CRIS prototyping from February through May 1999; CRIS design documentation May and June 1999; June 1999 Visual CRIS integration; and July, August 1999 Visual CRIS TCD demo.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One may remember that the TC Department had viewed VS Lite in April 1999, the software evaluation was in early June 1999, and installation occurred in late July,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Sonja Haas met with the TCD user group on August 4, 1999, and her minute of the meeting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background behind the CRIS pictorial was explained. This diagram tool was initiated as part of the Crash/Crime Contravention project in the Spring of 1998 to provide some payback to TCD adjusters for entering information in the requested CCC data fields. Between last summer and now, it has been on hold. (I note that Ms on leave of absence August, 1998). With the focus on liability disputes, both a diagramming and statement taking tool are becoming a priority. This meeting was to demo the initial diagram tool that had been conceptualized for CRIS and discuss its importance to TCD and to start discussion on a statement taking tool.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decided that a statement Q and A guide is more important than the diagram tool and that the diagram tool should be built as automatically as possible, based on information added to the CRIS report and possibly the statement tool. The diagram should then be "tweaked" by the CSG adjusters at the back end, not by adjusters taking the initial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TCD user group made a number of suggestions, questions and ideas for the diagram and statement tools. The comments under the headings "CRIS Pictorial" and "Statement Q &amp; A" plainly reflect the TCD adjusters' exposure to VS's software. Ms. Haas forwarded the questions from the user group to Mr. Schneider August 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 CRIS Maintenance Enhancement document notes the August 12, 1999, decision of Sonja Haas to create a diagramming tool that takes data entered in the CRIS report, and possibly also in the statement guide, to automatically create a basic diagram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By mid-August Mr. Hankinson had been told that TCD were to remove the software of VS, i.e. VS Lite, and they were to now concentrate on the in-house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meeting with the TCD department reflected their strong wish to have a statement guide. That is reflected in Margo Vanderweele's memo of August 25, 1999, under the heading, "Statement guide meeting" wherein the TCD user group would need to develop the statement guide and statement formatting for the CRIS pictorial before the systems people were able to further develop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minute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idea is that the statement format will be basic/generic questions set up in a Questions/Answer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mentions the use of pop-up guides including key words, which may be seen on the VS Lite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It is reasonable to infer the brainstorming of the user group was prompted by the TCD adjusters' exposure to VS Lite. Similar comment may be made of the minutes of the "statement guide" meeting of September 1, 1999, and the memorandum of September 14, 1999, from Sonja Haas to Syrena Bishop under the heading "TCD Statement Requirements". In September 1999, a business requirement document begins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TCD expands its operation to take more complex claims there is a need to assist adjusters, particularly those working in the Customer Service Group, in taking pertinent information in the form of statements and diagrams to aid in the liability decision making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under the heading "Scope"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this project is to explore the benefits of and requirements for both a diagramming tool and a statement guide that will integrate with CRIS and the data available on our corporate databases. This tool will be initially developed for business users working in the Telephone Claims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heading "General Requirements - CRIS Pictorial":</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diagramming tool that integrates with the Claims Reporting and Initiating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Under a further heading, "General Requirements - CRIS Statement Guide", a basic statement guide template laid out steps to a dynamic statement tool which, again, in my view reflects the development of and exposure of ICBC personnel to VS Lite to that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actual software "writing" of ICBC's diagram tool was done by TP Systems Programmer, Paul Schneider, and the statement guide prototype by TP Systems Software Developer, Chris Purdye.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evidence of Ms. Bishop was that the prototype software was taken no further. She did acknowledge she was concerned when she became aware that the TCD group had been looking at the VS Lite software, when they were in the process of building a "similar new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Haas had the same concerns. On August 5, 1999, she e-mailed Rene Lacroix: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Visual Lite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our CRIS demo yesterday it came out that some of the adjusters in my Focus Group are using Visual Lite, which is apparently the statement guide piece of the Visual Statement software. I'm a bit uncomfortable having people contribute ideas when they're using another software product, particularly that one as it is a politically sensitive topic anyway. I'm not sure who installed it at TCD, but I think it was only demo'd last week, so it could not have been too long ago. Sue Carle was in the meeting and said the group was "piloting" the software but had been told ICBC would not be buying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bright note, Margo said that the adjuster comments about Visual Lite were that it was obviously not designed by adjusters.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do you feel we should handle this? Do you think we're putting ourselves in a bad position with having these same adjusters on our Focus Group? We are going to work on statement guide requirements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Consideration of the evidence leaves no doubt that consciously or otherwise VS's ideas, concepts, and developments in accident diagram and question and answer statement software applications taking percolated into ICBC's "similar product". In January 1998, VS demonstrated its product in an early form of the statement guide and drawing tools, which by April 1998, showed up as a pictorial design in the CCC CRIS changes. And the TCD group not only was privy to that early showing, but also were given more demonstrations of VS Lite and for a short time in 1999 were a user group. Inevitably there was a percolation of VS's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Bishop said a "business decision" was made to stop production on ICBC's prototype software. I infer two factors influenced that decision, namely: (1) the relatively little use for such software tools in the 1.1 million claims made each year; and (2) the law suit begun by VS in January 2000, which would doubtless generated legal advice suggesting "shelving" of the in house prototypes.</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September 2, 1999, Mr. Kennedy was referred to Mr. Downing. He wrote to Mr. Downing, copying the letter to Mr. Van Ryssel. I set it out as it expresses Mr. Kennedy's indignation at the corporate treatment of VS: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sending you this e-mail message because you are in a position in the highest level of authority that I am aware of - that is involved in the Visual Statement Inc./ICBC software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by this juncture you have had an opportunity to review the product and know the history of this development. Without going into great detail, our relationship with ICBC seems to have ended, abruptly.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never been told this officially, but indirectly by friends within your company. I understand your RSD department has withdrawn support and our software has been universally deleted. I can tell you we feel very disrespected and disregarded. We have invested over 4,000 man-hours in a product created for ICBC claims staff. The design is entirely driven by ICBC and we are very proud of the product. Simply put, it works.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complaint is threefold: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we have not been officially communicated to since the beginning of August.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we would never have extended our company's resources to create this product had we been told that ISD would kill it with no explanation or discussion with ourselves.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we have had an agreement in place with your ISD since 1996 not to use our software ideas for their own development and we suspect that that is exactly what they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sought a meeting with Mr. Downing.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Various negotiations and meetings went on for a while until it was agreed an evaluation would be made of the software. Mr. Downing's evidence was that he kept an open mind on this.</w:t>
      </w:r>
      <w:r>
        <w:rPr>
          <w:rFonts w:ascii="arial" w:eastAsia="arial" w:hAnsi="arial" w:cs="arial"/>
          <w:sz w:val="20"/>
          <w:lang w:val="en-US" w:eastAsia="en-US" w:bidi="ar-SA"/>
        </w:rPr>
        <w:cr/>
      </w:r>
    </w:p>
    <w:p>
      <w:pPr>
        <w:numPr>
          <w:numId w:val="5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An evaluation was done of the VS Lite software. The written report is dated Tuesday, October 19, 1999. Those present were Craig Luker and Jody Gelowitz from VS, Syrena Bishop (ASD Claims Systems, Senior Systems Analyst CRIS Project), Drew Cudlip, (ASD Claims Analyst, System Analyst CRIS Project), Chris Purdy (TP Systems Senior Programmer CRIS Project), Sonja Haas, (Claims Business Analyst) and Glenn Alex (Claims Business Analyst).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purpose of the review was to perform a high level technical assessment of the VS Lite system in terms of ICBC corporate infrastructure, product architecture, and possible integration to ICBC data and application. A "quick demo" of VS Lite performed by Craig Luker provided the basis for discussions. I do not propose to review the document at length. The findings of the committee are plain, namely, that the software product was functional but in terms of its ability to integrate with ICBC's mainframe data and its applications, it was found wanting. Simply put, VS Lite had been developed as stand-alone software that worked on the adjusters' desktop computer. Although there had been some passing mention of "integration", no design guidelines or requirements had ever been given to VS regarding integration of their product with ICBC mainframe data. In sum, it was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complexity and effort required to integrate the product with ICBC applications, it would be difficult to recommend purchasing the product for that purpose.</w:t>
      </w:r>
    </w:p>
    <w:p>
      <w:pPr>
        <w:numPr>
          <w:numId w:val="5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should note a good deal of time during the trial was expended in proffering differing opinions as to the ease or otherwise of integrating the VS Lite software with ICBC's computer systems. On the one hand, Dr. Dexter, a well respected academic, and Professor Emeritus at the Faculty of Commerce at U.B.C. stated there would be a huge amount of work ("difficult in the extreme") involved in integrating the VS Lite stand-alone software with ICBC's database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the other hand, Roger Oatway, who worked for ICBC's Information Systems Department from April 1993 to November 2001 and was employed as its Senior Database Administrator, which included CRIS, opined that in 1999 additional hardware and software on a modest scale might be required to fully integrate all VS Lite application data, and would have enhanced CRIS by provision of an image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Professor Ryszard Paweska is not only a professor at the Department of Computing Science, University College of the Cariboo, but also was heavily involved in the development of VS Lite and its predecessors. He was the writer of the source code for the VS products. His response to the "Evaluation" by ICBC of VS Lite and the possible integration of VS Lite was predictably scathing.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Roderick McIntosh Shand, a software Consultant with writings in the field of software project management, provided opinions, some of which I have found in the facts recited above. In sum, he said that the ICBC prototypes reflected the work done by VS, particularly in the design of the user interface, which VS was able to develop in the field with the Kamloops Claims personnel. Given my analysis of the legal grounds for VS's claim, I do not need to comment further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plain on the evidence that, at best, there was an agreement to do a pilot project at the Kamloops office and that Mr. Gliege would, if satisfied with the software, be prepared to recommend its purchase. That is not a sales contract in any sense; it was simply a promise that if the product reached a certain stage, it might be recommended for purchase.</w:t>
      </w:r>
      <w:r>
        <w:rPr>
          <w:rFonts w:ascii="arial" w:eastAsia="arial" w:hAnsi="arial" w:cs="arial"/>
          <w:sz w:val="20"/>
          <w:lang w:val="en-US" w:eastAsia="en-US" w:bidi="ar-SA"/>
        </w:rPr>
        <w:cr/>
      </w:r>
    </w:p>
    <w:p>
      <w:pPr>
        <w:numPr>
          <w:numId w:val="5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This potentially would have been one of the most interesting aspects of such a case. The lengthy and detailed consideration of such matters is illustrated in Parrett, J.'s decision in Prism Hospital Software Inc. v. Hospital Medical Records Institute </w:t>
      </w:r>
      <w:hyperlink r:id="rId1055" w:history="1">
        <w:r>
          <w:rPr>
            <w:rFonts w:ascii="arial" w:eastAsia="arial" w:hAnsi="arial" w:cs="arial"/>
            <w:i/>
            <w:color w:val="0077CC"/>
            <w:sz w:val="20"/>
            <w:u w:val="single"/>
            <w:shd w:val="clear" w:color="auto" w:fill="FFFFFF"/>
            <w:lang w:val="en-US" w:eastAsia="en-US" w:bidi="ar-SA"/>
          </w:rPr>
          <w:t>(1992), 62 B.C.L.R. (2d)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But the hurdles are now set high for those advancing a claim for breach of copyright in software programming: see the Ontario judgment of Leary, J. in Delrina Corp. v. Tiolet Systems Inc </w:t>
      </w:r>
      <w:hyperlink r:id="rId1056" w:history="1">
        <w:r>
          <w:rPr>
            <w:rFonts w:ascii="arial" w:eastAsia="arial" w:hAnsi="arial" w:cs="arial"/>
            <w:i/>
            <w:color w:val="0077CC"/>
            <w:sz w:val="20"/>
            <w:u w:val="single"/>
            <w:shd w:val="clear" w:color="auto" w:fill="FFFFFF"/>
            <w:lang w:val="en-US" w:eastAsia="en-US" w:bidi="ar-SA"/>
          </w:rPr>
          <w:t>(1993), 47 C.P.R. (3d) 1</w:t>
        </w:r>
      </w:hyperlink>
      <w:r>
        <w:rPr>
          <w:rFonts w:ascii="arial" w:eastAsia="arial" w:hAnsi="arial" w:cs="arial"/>
          <w:color w:val="000000"/>
          <w:sz w:val="20"/>
          <w:lang w:val="en-US" w:eastAsia="en-US" w:bidi="ar-SA"/>
        </w:rPr>
        <w:t xml:space="preserve">, and affirmed on appeal, </w:t>
      </w:r>
      <w:hyperlink r:id="rId1057" w:history="1">
        <w:r>
          <w:rPr>
            <w:rFonts w:ascii="arial" w:eastAsia="arial" w:hAnsi="arial" w:cs="arial"/>
            <w:i/>
            <w:color w:val="0077CC"/>
            <w:sz w:val="20"/>
            <w:u w:val="single"/>
            <w:shd w:val="clear" w:color="auto" w:fill="FFFFFF"/>
            <w:lang w:val="en-US" w:eastAsia="en-US" w:bidi="ar-SA"/>
          </w:rPr>
          <w:t>2002 17 C.P.R. (4th) 289</w:t>
        </w:r>
      </w:hyperlink>
      <w:r>
        <w:rPr>
          <w:rFonts w:ascii="arial" w:eastAsia="arial" w:hAnsi="arial" w:cs="arial"/>
          <w:color w:val="000000"/>
          <w:sz w:val="20"/>
          <w:lang w:val="en-US" w:eastAsia="en-US" w:bidi="ar-SA"/>
        </w:rPr>
        <w:t>, where the Court took the three step process of abstraction, filtration, and comparison to distinguish the idea from its expression, in determining what parts of the software program were subject to 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this case, VS did not provide the evidence to make such a claim. It would appear Mr. Schneider used different programming language and different tools in "writing" ICBC's prototype software. But much of the idea that had been carried into expression by VS, both before and after January 1998, was the development of the graphical user interface, which only comes from the grind of turning the idea into software, testing it out on users, and rewriting and testing and rewriting... as happened at Kamloops Claims Centre in early 1999. However, on the evidence before me I cannot see any basis for breach of 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well I noted that Dr. Dexter, who gave evidence as to the integration issue, said he had been a witness in the Prism Hospital case. That may be an indication as to why VS did not pursue the copyright issue vigorously.</w:t>
      </w:r>
      <w:r>
        <w:rPr>
          <w:rFonts w:ascii="arial" w:eastAsia="arial" w:hAnsi="arial" w:cs="arial"/>
          <w:sz w:val="20"/>
          <w:lang w:val="en-US" w:eastAsia="en-US" w:bidi="ar-SA"/>
        </w:rPr>
        <w:cr/>
      </w:r>
    </w:p>
    <w:p>
      <w:pPr>
        <w:numPr>
          <w:numId w:val="6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case law sets out four pre-requisites:</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confidential information;</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situation of confidence such that the parties are aware that there is an obligation to maintain the confidence;</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mis-use of the information;</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detriment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all of the cases cited to me, the third and fourth aspects were plain, i.e., the confidential information was appropriated either consciously or unconsciously by the recipient party and used for its benefit (e.g., seeing tool diagrams and replicating them in production, sharing the concept of a T.V. show and seeing the show go in to production, being provided information as to the location of a potential gold seam and buying the claim and mining the gold,): See: Saltman Engineering Co. v. Campbell Engineering Co. (1963) 3 All E.R. 413 (a 1948 decision of the English Court of Appeal); Seager v. Copydex Ltd. (1967) 1 W.L.R. 923 (C.A.); Talbot v. General Television Corporation PTY Ltd. (1981) R.P.C. 1; Fraser v. Thames Television Ltd. (1983) 2 W.L.R. 917; LAC Minerals Ltd. v. International Corona Resources Ltd., </w:t>
      </w:r>
      <w:hyperlink r:id="rId1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In each case the defendant took the plaintiff's idea and used it to their own benefit. That cannot be said in this case. ICBC have not used the software "in house", or taken the idea to the market. It has not "profited".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There may be another issue as to whether in fact they have "spring-boarded", by using the work done by VS to shorten their development time on the "similar prototype". But the development of the similar prototype has stopped. There is no evidence before me that ICBC have taken the VS Lite software developments and used them for ICBC's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Shand, who is an expert in software project management, indicated the normal development of an idea relies on trying out the beta software on the user groups, and then by question and answer refining the product to a stage where it is commercially viable. His opinion was that ICBC could not have developed the CRIS statement taking application, and the diagram taking application without having been exposed to VS's software. He postulated that ICBC developed their diagramming tool in the CRIS programme in such a short period that I must infer the ICBC technical department "spring-boarded".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However, the evidence of Mr. Schneider was that he had developed the prototype program by himself. If there was spring-boarding, I find it in the information that was provided to Mr. Schneider. Consciously or unconsciously, information that was peculiar to VS was passed on through ICBC (Ms. Haas and the TCD group)to Mr. Schneider.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But ICBC has gone no further. It has recognized the danger of proceeding further. To appropriate the benefit of that work would plainly be wrong. And I note that Mr. Downing felt the cost of such tools, when compared to the few claims each year where such software might make a difference, did not justify the expenditure. I suspect the adjuster in the field might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VS would say that therein lies the damage, that they have not obtained the benefit of a sale to ICBC, and the market penetration and goodwill they could hopefully then take forward into other sales. That is reaching too far. VS did get their pilot inside ICBC's doors. They did develop their software product with the aid of ICBC. They invested their time and money and effort, and they won the recommendation for purchase. Then VS ran into two problems: first, the processes of the corporate hierarchy; second, the similar prototype being developed in ISD. As well, VS's focus had been on the claims adjuster's desktop PC. They had not been asked, at least during the pilot stage, to consider network or mainframe communications or integration issues.</w:t>
      </w:r>
      <w:r>
        <w:rPr>
          <w:rFonts w:ascii="arial" w:eastAsia="arial" w:hAnsi="arial" w:cs="arial"/>
          <w:sz w:val="20"/>
          <w:lang w:val="en-US" w:eastAsia="en-US" w:bidi="ar-SA"/>
        </w:rPr>
        <w:cr/>
      </w:r>
    </w:p>
    <w:p>
      <w:pPr>
        <w:numPr>
          <w:numId w:val="6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Recently the Supreme Court of Canada in the Martel decision, supra, made it plain that a Court should be loathe to revive or support contract situations where commercial parties have failed to protect their interests and having no basis for a contract claim or breach of confidence, turn to tort law to revive their lost contractual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However, having said that, the Court was careful to emphasise the five types of cases listed by La Forest, J., in C.N.R. v Norsk Pacific Steamship Co., </w:t>
      </w:r>
      <w:hyperlink r:id="rId1058"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can potentially give rise to compensable economic loss, including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Martel case was considered novel in that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commercial parties in the conduct of negotiations for a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VS's claim is founded on the cause of action recognised in Hedley Byrne &amp; Co v. Heller &amp; Partners Ltd. (1964) A.C. 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Since 1964 the law has recognized an obligation on persons in certain situations to be careful in what they say; that the proximity and nature of their relationship can give rise to legal obligations; that if there is reliance on the representations, which prove not to be true, and that reliance causes detriment or damage to the innocent party, there may be a remedy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the Queen v. Cognos, </w:t>
      </w:r>
      <w:hyperlink r:id="rId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 Court set out five general elements for a successful Hedley Byrne claim:</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said negligent misrepresentation;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the circumstances that arose in this case, VS had developed confidential information. Not only did the circumstances give rise to an obligation of confidence, the relationship of the parties gave rise to a duty of care. There is no question that Mr. Kennedy from March 1997, if not earlier, made it clear that there would be little point in his company providing its full efforts if ICBC was running some parallel development. Mr. Gliege expressly checked in the early part of 1999 on VS's concerns and on the information he obtained, he assured Mr Kennedy that there was no basis for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But there was cause for concern. Indeed, the Corporation's lack of internal communication within ICBC was summed up by Mr. Marleau's e-mail statement: "How could this have been developed without (ISD and OCMS) involvement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When VS showed its proposal to ICBC, they were assured that there was no similar product development going on within ICBC. Early on that was true but from April 1998 that changed. The parties had a special relationship imposing on ICBC a duty of care. The assurances given VS while initially true, lost their validity and subsequently were negligently reiterated. VS reasonably relied on those assurances. By then ICBC was developing software for statement taking and diagramming. It amounts to a negligent mis-statement, VS relied on the assurances and there was damage or detriment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Figures for loss have been put forward. They reflect Mr. Kennedy's great expectations for his product. But those expectations were largely based on a sale to ICBC, the endorsement of same giving Visual Statement market clout, as well as income from on-going support and maintenance, and eventually ever-expanding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should note that Mr. Kennedy's company did not come to an immediate stop. He is not inflexible. VS has moved promptly to focus on police investigation and it has made sales inroads in that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VS says that if it had not committed to ICBC for six or eight months in 1998 and 1999, it would have made bigger inroads in other market. I cannot join that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However, I do agree VS relied on the statements of the ICBC representatives, that ICBC at a sufficiently high level knew of the Kamloops pilot of the diagramming tool and statement taking tool, while similar product development went on within the CRIS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VS is entitled to recompense for its efforts, especially with respect to VS Lite. The value of the effort is not lost for they obtained the value of the user improvements. ICBC made a substantial contribution to that development. ICBC provided the guinea pigs. They helped, aided and abetted in making a better user interface, they were the beta testers, and they contributed substantially to the end product, VS Lite.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What is a fair award for VS in the circumstances of this case? A figure of $143,915 was put forward as the "labour cost" between April 1998 and August 1999. The price of VS Lite was never settled, though VS hoped ICBC would buy 1000-1200 copies of the software, which might have realised immediate sales revenue of $300,000 or more. But VS had only been promised a recommendation for purchase. There was no contract close at hand, though who knows what might have eventuated had ICBC not had similar product development. The damages are recompense for an effort they would not have made had they known the true facts, i.e., that ICBC did in fact have a similar product in development. VS argued that had it turned its efforts to the police investigation market in 1998, it would have made a greater inroad into that market. That is the loss of a chance, and a factor I take into account. But, at the end, they are general damages that I award. Taking into account the arguments of both sides, I set general damages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Counsel reserved the right to speak to costs, and I will be pleased to hear them on due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CRAWFORD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Reasons for Judgment released May 21, 2003, the first sentence of paragraph [192] of those Reasons should be changed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826"/>
        <w:gridCol w:w="238"/>
        <w:gridCol w:w="7741"/>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well I noted that Mr Oatway, who gave evidence as to the integration issue, said he had been a witness in the Prism Hospital case.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826"/>
        <w:gridCol w:w="238"/>
        <w:gridCol w:w="7741"/>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well I noted that Dr. Dexter, who gave evidence as to the integration issue, said he had been a witness in the Prism Hospital case.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Wasserman v. Hall, [2009] B.C.J. No. 1932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7-10, 14-17, August 4-7 and 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11398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R.P.R. (4th)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616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Matthew Christian Wasserman, Plaintiff, and Crystal Leigh Hall and Colin Hall,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41"/>
      <w:bookmarkEnd w:id="279"/>
      <w:r>
        <w:rPr>
          <w:rFonts w:ascii="arial" w:eastAsia="arial" w:hAnsi="arial" w:cs="arial"/>
          <w:b/>
          <w:color w:val="000000"/>
          <w:sz w:val="20"/>
          <w:lang w:val="en-US" w:eastAsia="en-US" w:bidi="ar-SA"/>
        </w:rPr>
        <w:t>Damages — For torts — Affecting property — Trespass — Nuisance — Action by plaintiff for removal order and damages allowed in part — Cross-action by defendants for damages for trespass and invasion of privacy allowed in part — Dispute began when defendants began constructing fence that encroached on plaintiff's property, as confirmed by survey — Parties made complaints to police and repeatedly annoyed each other — Since all behaved badly, no punitive damages — Defendants ordered to remove all fence encroaching on plaintiff's land and pay $5,000 for ongoing trespass — Plaintiff created nuisance and invaded defendants' privacy by installing surveillance cameras that recorded yard and home — Defendants awarded $3,500.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What constitutes nuisance — Practice and procedure — Evidence — Action by plaintiff for removal order and damages allowed in part — Cross-action by defendants for damages for trespass and invasion of privacy allowed in part — Dispute began when defendants began constructing fence that encroached on plaintiff's property, as confirmed by survey — Parties made complaints to police and repeatedly annoyed each other — Since all behaved badly, no punitive damages — Defendants ordered to remove all fence encroaching on plaintiff's land and pay $5,000 for ongoing trespass — Plaintiff created nuisance and invaded defendants' privacy by installing surveillance cameras that recorded yard and home — Defendants awarded $3,500.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Continuing trespass — Action by plaintiff for removal order and damages allowed in part — Cross-action by defendants for damages for trespass and invasion of privacy allowed in part — Dispute began when defendants began constructing fence that encroached on plaintiff's property, as confirmed by survey — Parties made complaints to police and repeatedly annoyed each other — Since all behaved badly, no punitive damages — Defendants ordered to remove all fence encroaching on plaintiff's land and pay $5,000 for ongoing trespass — Plaintiff created nuisance and invaded defendants' privacy by installing surveillance cameras that recorded yard and home — Defendants awarded $3,500.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Surveillance — Action by plaintiff for removal order and damages allowed in part — Cross-action by defendants for damages for trespass and invasion of privacy allowed in part — Dispute began when defendants began constructing fence that encroached on plaintiff's property, as confirmed by survey — Parties made complaints to police and repeatedly annoyed each other — Since all behaved badly, no punitive damages — Defendants ordered to remove all fence encroaching on plaintiff's land and pay $5,000 for ongoing trespass — Plaintiff created nuisance and invaded defendants' privacy by installing surveillance cameras that recorded yard and home — Defendants awarded $3,500.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40"/>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trespass and punitive damages. Cross-action by the defendants for damages for trespass, invasion of property and punitive damages. The parties were neighbours in a rural setting and had been friends once. The defendants informed the plaintiff of their plans for a fence and the plaintiff found the plans acceptable. Construction began; however, when the plaintiff began trenching a straight hedge line, he noticed the fence posts were encroaching on his property. The plaintiff informed the defendant wife and she told him she would tell her husband about the problem, but never did. The plaintiff sent an email to the defendants, asking them to move the offending fence posts within two months so he could carry on with home improvements. The parties began taking offence to things the other said and the relationship deteriorated into insults, constant attempts to annoy each other and complaints to the police. The defendants refused to move their fence. The plaintiff commissioned a survey that confirmed four posts were fully on his property and 10 were partially on his property. The plaintiff installed surveillance cameras to monitor the property line, which further angered the defendants, who felt they were constantly being watched.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5"/>
            <w:bookmarkEnd w:id="281"/>
            <w:r>
              <w:rPr>
                <w:rFonts w:ascii="arial" w:eastAsia="arial" w:hAnsi="arial" w:cs="arial"/>
                <w:color w:val="000000"/>
                <w:sz w:val="20"/>
                <w:lang w:val="en-US" w:eastAsia="en-US" w:bidi="ar-SA"/>
              </w:rPr>
              <w:t>HELD: Both actions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fence had been clearly encroaching on the plaintiff's land and the defendants did not move it, even after they were clearly aware of the problem. The defendants were ordered to remove all portions of the fence encroaching on the plaintiff's land and pay $5,000 for the continuing trespass. The defendants did not have a reasonable expectation of privacy on the fence line, but certainly did within their home. At least one of the cameras set up by the plaintiff recorded the defendants in their yard and home. This was a clear violation of property and a nuisance and the plaintiff was wilful and unjustified in his actions. The defendants were awarded $3,500 damages. Neither party was awarded punitive damages since everyone had behaved so badly during the dispute. The plaintiff was awarded costs for the first five days of the 13-day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Legislation Cited_34"/>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Privacy Act, </w:t>
      </w:r>
      <w:hyperlink r:id="rId1066" w:history="1">
        <w:r>
          <w:rPr>
            <w:rFonts w:ascii="arial" w:eastAsia="arial" w:hAnsi="arial" w:cs="arial"/>
            <w:i/>
            <w:color w:val="0077CC"/>
            <w:sz w:val="20"/>
            <w:u w:val="single"/>
            <w:shd w:val="clear" w:color="auto" w:fill="FFFFFF"/>
            <w:lang w:val="en-US" w:eastAsia="en-US" w:bidi="ar-SA"/>
          </w:rPr>
          <w:t>RSBC 1996, CHAPTER 373, s. 1</w:t>
        </w:r>
      </w:hyperlink>
      <w:r>
        <w:rPr>
          <w:rFonts w:ascii="arial" w:eastAsia="arial" w:hAnsi="arial" w:cs="arial"/>
          <w:color w:val="000000"/>
          <w:sz w:val="20"/>
          <w:lang w:val="en-US" w:eastAsia="en-US" w:bidi="ar-SA"/>
        </w:rPr>
        <w:t>(1), s. 1(2), s. 1(3), s. 1(4), s.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1"/>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R.S. Margetts,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M.H. Zoraik.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1"/>
      <w:bookmarkEnd w:id="284"/>
      <w:r>
        <w:pict>
          <v:line id="_x0000_s1244"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M.D. MACAULAY J."/>
            <w:bookmarkEnd w:id="285"/>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Wasserman, and the defendants, Mrs. and Mr. Hall, are unhappy neighbours. They own large adjoining residential properties in a rural setting in Cobble Hill, British Columbia. The two properties front on the east at 3160 and 3180 Mutter Road respectively and extend in a westerly direction to the rear of each property. The common boundary line separating the properties is about 131 meters long. The Hall property lies to the north of the line and the Wasserman property lies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issue is the location of fencing that the Halls constructed along the common boundary line. Mr. Wasserman contends that parts of the current fence, as well as earlier versions, encroach on his property. He seeks injunctive relief respecting the removal of the encroachment as well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Also at issue are various claims and counterclaims arising out of the events that occurred after Mr. Wasserman first complained about the location of the fence. Among other things, Mr. Wasserman alleges that the Halls, or more exactly, Mr. Hall, maliciously and falsely reported various allegations to the local RCMP detachment. As those claims, if proven, can be taken into account in assessing damages for trespass, it will not be necessary for me to deal with them separately. Mr. Wasserman seeks aggravated and punitive damages against the Halls arising out of the above and other incidents that have occurred since the fencing dispute first arose. Mr. Wasserman also advances alternative claims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same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addition to maintaining their denial of the trespass allegations, the Halls allege that Mr. Wasserman wrongfully breached their right to privacy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as well as their common law right to privacy, including by photographing the defendants in their back yard; aiming video surveillance cameras at the windows of their home; attempting to see inside the windows of the Hall residence from his property; and installing lighting directed towards the Hall property. The Halls further allege various acts of trespass by Mr. Wasserman, including removing "fencing pegs"; damaging a portion of the fence; removing or repositioning survey pegs and placing or throwing fencing materials onto the Halls' property. In addition, the Halls allege that Mr. Wasserman committed nuisance. In support of that claim, the Halls repeated many of the same allegations as well as others. According to the Halls, they have suffered, among other things, stress, anxiety and loss of enjoyment of their property for which they seek damages, including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what I can only imagine must be a huge cost, the parties have now had their day, or more precisely 13 days, in court. My observation of the parties leads me to conclude that the trial process likely reinforced rather than relieved the hard feelings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Unfortunately, this is a case where the cost and result could have been avoided if the parties had made different choices along the way. In the result, a relatively minor encroachment that ought to have been resolved at the beginning by removing and relocating the fence was blown entirely out of proportion due to the intransigence and over-reactions of the parties that led to unnecessarily provocative responses and counter-responses to perceived threats. The parties have, for the most part, authored their own misfortunes.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is apparent from the foregoing, I conclude that the fence encroaches on the Wasserman property. That is at the heart of the dispute and necessarily drives much of the final disposition. Indeed, the fact of the encroachment has been largely incontrovertible since the plaintiff commissioned a survey of fence posts in October 2007, within a couple of months of first raising his concerns with the Halls. Accordingly, the encroachment also provides necessary context for most of what followed after Mr. Wasserman's initial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brief overview of the uses of the properties and the relationship between the parties before the building of any fencing along the common boundary line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Wasserman purchased his property in 2001. By 2002, he commenced installing yard lights to illuminate his property and highlight some of the mature trees on it. Lights similar to the present ones were first installed before the Halls moved into the property next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Halls purchased their property in 2006 and moved in that year with their young children. At first, they had a good relationship with Mr. Wasserman who was in the throes of separating from his wife. In spite of the pastoral setting, both Mr. Wasserman and the Halls encountered some difficulties with other people in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spring of 2007, neighbours across the road from the Wasserman property complained to the police about Mr. Wasserman's driving. Mr. Hall thought the complaint was unfair and wrote a letter in support of Mr. Wasserman to the police dated June 4, 2007. In his letter, Mr. Hall described Mr. Wasserman as a good friend and neighbour; he also suggested that the other neighbours were attacking Mr. Wasserman and that unknown vandals were targeting the Hall family. By inference, Mr. Hall appeared to connect all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Around this time, it would have become apparent to Mr. Hall that Mr. Wasserman was very sensitive about being the subject of police investigations even if the complaints were entirely unjustified. This is because Mr. Wasserman frequently worked in the mid-East and the nature of his employment required him to maintain an unblemished record such that any complaint could potentially cause him great embarrassment and, perhaps, even loss of employment. As will be seen, Mr. Hall later attempted to use that knowledge to his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Hall built the first part of the fence commencing at the west end of the property line in late 2006. He installed posts and attached wire fencing and some cedar paneling. He and Mr. Wasserman discussed the project beforehand and both were happy with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2007, Mr. Hall began extending the fence line further east along the property line. He estimated that he completed the fence line about 70 per cent of the distance to Mutter Road before Mr. Wasserman became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mid-2007, Mr. Wasserman was trenching a line parallel to the boundary line so that he could plant evergreen hedging to create a privacy screen. In doing so, he ran a string line and concluded that the new fencing encroached on his side of the property line. Until that point, Mr. Wasserman had no concerns about the location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Sometime in July, Mr. Wasserman went to the Hall house to discuss the location of the fence line but Mr. Hall was not home at the time. Mr. Wasserman testified that he told Mrs. Hall that it appeared that the fence was on both sides of the property line. She stated that she would inform Mr.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Hall gave similar evidence. According to her, Mr. Wasserman stated the fence was a little on his property, it was no big deal, and asked her to mention it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Unfortunately, Mrs. Hall neglected to tell her husband about the conversation. I accept that she forgot to do so until Mr. Wasserman followed up with his first email on August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August 7, Mr. Wasserman had received inaccurate legal information from a friend to the effect that he could lose ownership of the portion of his property affected by the fence if he failed to document his position and take steps. He wrote an email to the Halls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respect property boundaries with your fence, it will need to be moved on to your property, unfortunately it currently stands on mine. Please relocate it by October 1, 2007 as I am planning additional improvements to that side of my property starting October 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Wasserman ended the email, "With the utmost respect; and warmest regards,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Wasserman also attached a letter to his email ending with similar phrasing. In the letter, Mr. Wasserman started by reviewing some of the things that he had done as "a good neighbour" and "out of respect for your property". He then outlined the steps that he had taken in preparation for the hedge planting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respect the surveyed property boundary I ran a string from the West side of the property peg to the East side of the peg that borders and identifies our property boundaries, some 400' long. In doing so, it appears the fence you had put up recently is on the wrong side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the letter,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Out of respect for property boundaries, and neighbours I understand fences to fall into one of the following categories:</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property line (in which case I understand the fence on my property side will then belong to me).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off the property line so you are able to access all sides of your fence from your property (in which case all of the fence belongs to you).</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it currently stands: fencing on my side of the property boundary currently belongs to me, regardless of who put it up, or paid for it, and its existence on my property is at my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an understatement to say that the email and attachment were not well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evening of August 8, Mr. Hall replied by email advising Mr. Wasserman that he "must have the survey pins verified by an independent survey" and "[a]s we have now become your enemy now [sic] there will be no moving of any fence until the survey pins are verified". The message ended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find your behaviour very disturbing being all that we have done for you in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very unfortunate that Mr. Hall adopted that tone. By then, his wife had informed him that Mr. Wasserman had tried earlier to discuss the fence and that should have been enough to cause him to blunt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Wasserman replied the same evening and included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 all, you have not become my enemy. I am sad to hear you say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compelled to document my property line concerns as I had verbally communicated it to you guys and did not get so much a phone call in almost 2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Colin, I respect you and your family. All of my actions that I detailed in my previous note, and many more unspoken actions; such as the 4 x 4s for your children's sand box; as well as other actions by me, do nothing but echo respect for the Hall family. I have done nothing but respect you, your property, your family, and your friendship. Now I am asking you to respect the property line and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dispute the property pegs, I respect that, I'm not sure why you did not come to me right when I communicated my concerns and say so, or why you even built the fence in the first place without the survey you speak of. The current property pegs are the originals when I purchased my home, and remain the same as the ones when you bought your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reason to believe the current official pegs are off. None the less, I will refrain from improvements to that side of my property until October 1, 2007 as previously advised. I trust that will give you enough time to satisfy yourself via an independent survey that the accuracy of the pegs and the property line are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Less than a minute later, Mr. Hall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entirety of his message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are no longer a friend and a good neighbour it is your responsibility to have the property line surveyed to put your mind at ease and as for who owns the fence and who paid for it the fence belongs entirely to us, and such damage to our fence on your behalf will result in a legal court battle. Furthermore we will be forwarding these threats you are making against our family to Constable Harris of the Shawnigan Lake RCMP. We take these threats very seriously. Out of due respect we must take action to protect our children and family. This truly shows your true colours as we were warned. cc: Constable Harris Shawnigan Lk.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Hall did not, in fact, forward a copy to Constable Harris but the email prompted a further response in what had turned into a night of verbal long knives.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Wasserman stated that he was unclear how his email could be construed as a threat to Mr. Hall or his family. He went on to state,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it from this email you are making accusations of illegal activity on my part. You are fully aware this is not true and you are fully aware as I have shared with you I have no criminal record of any kind and my career is dependent on remaining so. By you making such accusations you knowingly put my career in jeopardy. I take this seriously and will be responding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final email that unfortunate evening, Mr. Hall informed Mr. Wasserman that he was the only person with a problem concerning the fence and that it was to clear up his confusion that the Halls were "having the line verified" and would "only act on the disputed fence once the lines are verified".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Within a few days, Mr. Hall's mother became involved. She wrote an email to Mr. Wasserman on August 10 advising that: "the [Hall] property was surveyed this morning and the fence is on the right property as to who built it". She also referred in the email to the return of gifts that Mr. Wasserman had given the Hall family. These included a riding saddle and model sailing ship, both of which the Halls deposited on the Wasserman property just across the common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Wasserman responded the next day to Mr. Hall's mother, with a copy to the Halls,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authorize any tampering, removal or relocating of structures on my property, including fences, by Mr. Hall. Any actions or attempts by your son, Mr. Hall, or his representatives, or agents to do any of the above will be seen as trespassing, and a hostile act, and will be dealt with to the fullest extent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Within a few hours, an RCMP officer attended at the Wasserman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officer attended as a result of Mr. Hall complaining that Mr. Wasserman was sending harassing emails. Following a brief review of the email exchanges, the officer took no further action apart from talking to Mr. Hall. It is apparent that the officer correctly viewed the dispute as a civil rather than criminal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Hall had a surveyor attend and inspect the fence. The surveyor verified the placement of the corner posts at either end of the common property line. In addition, in a letter dated August 13, 2007, the surveyor described the fence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built with unusual accuracy (for a fence) and any deviation from a straight line is less than 15 c., ... makes the fence exceptional.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surveyor did not, however, survey the location of the fence relative to the property line. In the result, he did not determine, as the plaintiff's surveyor later did, that the fence line, albeit appearing straight, deviated from the Hall property onto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Nonetheless, the Halls must have understood that there was likely some encroachment. In the latter part of September 2007, Mr. Hall arranged for a crew to remove some of the existing fencing with a view to rebuilding the fence along the property line. These efforts resulted in a confrontation between the crew, Mr. Wasserman's girlfriend, Ms. Ravnsborg, who was living on the property at the time, and Mr. Wasserman's legal counsel, Mr. Lyon. At the time, Mr. Wasserman was out of the country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confrontation arose, in part, because Mr. Lyon told the crew members that they did not have permission to enter the Wasserman property to remove the fencing and posts. In the result, the crew removed some fencing, left some posts behind and rebuilt the fencing along the property line towards Mutter Road. At about the same time, the Halls installed "No Trespassing" signs on the new fence facing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new fencing did not resolve the encroachment. In mid-October 2007, Mr. Wasserman commissioned a survey site plan to demonstrate the position of some of the fence posts relative to the property line. The surveyors placed string on the top centre of the posts and measured the distances north or south of the property line. This process confirmed that four posts were wholly on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further survey commissioned in November 2007 of additional posts identified ten that encroached in whole or in part on the Wasserman property. The degree of encroachment was relatively slight, varying between 2 to 28 centimetres measured from the boundary line to the approximate center of the posts. The posts were each about ten centimetres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Wasserman commissioned a final survey in June 2008 to demonstrate the specific diameter of the posts and encroachments. It showed four additional posts added to the north side of the property line which appear from the photographs to be physically attached to posts that were already encroaching. The four new posts encroached in part as well. The Halls' fencing crew had placed these posts the previous September. In the end result, according to the surveyor, Mr. Kozina, whose evidence I accept, as many as 13 posts encroach in whole or in part on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result, the only area where there is no encroachment is the original fencing on the most westerly part of the boundary. Those are identified as the 13 most westerly posts on Mr. Kozina's sketch dated June 24, 2008, and also as Detail A on a survey that the Halls commissioned in April 2008. The Halls never commissioned any survey of the posts to the east of the area shown as Detail A and, accordingly, never put forward any expert evidence in support of their continuing contention at trial that there was no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response to the activities of the fencing crew in September 2007, Mr. Lyon recommended to Mr. Wasserman that he install video cameras to monitor the area of the property line. According to Mr. Wasserman, he installed two cameras before the end of September but did not activate them until later that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placement of the cameras would naturally lead an occupant of the Hall residence to believe that they were under surveillance even though I accept Mr. Wasserman's evidence that was not his intention. At least one of the cameras, likely because it was mounted up a tree, once activated, did capture, in the background of images, the near side of the Hall residence as well as the front entry on the street side and the rear of the residence where the Halls usually parked their vehicles. Once activated, the cameras were set to run all day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early October 2007, Mr. Wasserman removed fence screening that he considered an encroachment and threw it across the property line. Mr. Hall involved the RCMP again. An officer attended, arrested Mr. Wasserman for mischief, handcuffed him and placed him in the police car. Eventually, the officer agreed to view the area from which Mr. Wasserman had removed the screening and was satisfied that he should take no further action. Mr. Wasserman was released and the complaint never proceeded further. This was undoubtedly a very upsetting incident for both Mr. Wasserman and his partner, Ms. Ravnsborg, who was also home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Around the same time, an unidentified person or persons threw eggs at the Wasserman door. This incident, coupled with the police attendance, contributed to a decision to install more video cameras for security and to record events at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Wasserman added another six surveillance cameras on his property, although not directed towards the property line. These provided a view of his house and deck, and various views looking out from his front door and the sides of the house. By December 2007, all cameras were activated. Their presence exacerbated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So long as the lens of a camera was in sight from the Hall property, and some were, one would reasonably assume that activity at or near the Hall residence was being recorded. In all the circumstances, I am satisfied that the Halls believed that they were under surveillance even though the capture of actual images of the Hall property was limited and incidental to the main purpose of the cameras which was to record events on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cameras remained operational until Mr. Wasserman's house was damaged in an unfortunate fire that occurred in April 2009. The fire was accidental and does not give rise to any further issue between the parties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Hall reacted to the presence of the cameras by adding higher screening to part of the fence in an effort to block any camera view of the Hall residence. He also later added tarps above the length of fence closest to his house and arranged to have mirror film placed on windows; all of this was intended to block potential camera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November 2007, Mr. Hall also complained to the RCMP about the installation of the security cameras aimed at his residence. Mr. Hall characterized his many complaints as seeking advice from the RCMP, but I am satisfied that the police made it clear to him that the dispute was a civil one. Further, the Halls had counsel acting for them throughout and must have known that criminal complaints were groundless. In spite of that, Mr. Hall complained at every opportunity. The police recorded the incident in their file but did not act on the November complaint. I am satisfied that Mr. Hall's complaints were a means of pressuring Mr. Wasserman.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this point and continuing thereafter, the parties reacted to ongoing and further slights in a manner that I can only describe as extremely childish. Mr. Wasserman placed his own "No Trespassing" signs facing the Hall property that he removed after the Halls' lawyer complained to Mr. Lyon. Mr. Hall placed what he described in evidence as an "ornament" on a fence post that he kept covered with a sock. The sock concealed a mirror. Although Mr. Hall testified that the mirror was a garden ornament for his "own purpose", the likelihood is that he was using the mirror to attempt to reflect light back onto the Wasserman property or otherwise annoy.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Ravnsborg broke an angel figurine that Mrs. Hall had previously given to Mr. Wasserman. Either she or Mr. Wasserman placed the broken figurine on a trailer in the yard where it was in plain view of the Halls. Later, as will be seen, Mr. Wasserman placed the returned model sailing ship on top of a stepladder that he had placed near the fence line to remount one of his cameras. The sails were visibly broken. According to Mr. Wasserman, the ladder kept falling over and he wanted the sound of the boat falling to alert him in such event. The boat and sails were easily visible from the Hall side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suggestion that a wooden model ship would make more noise than an aluminum stepladder falling is ludicrous and I do not accept it. Like all these steps, the placing of the boat was intended primarily, if not solely, to annoy.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late 2007, Mr. Wasserman also complained to the Cowichan Valley Regional District ("CVRD") about the smell associated with horse urine pooling near the fence at the west end of the property line. The Halls had built a structure near the fence line and were boarding a horse there that belonged to friends. Mr. Wasserman questioned whether the structure was being improperly used as a barn because it was too close to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Ultimately, the CVRD agreed with Mr. Wasserman; the Halls were not permitted to use the structure as a barn. Eventually, the Halls agreed with the CVRD that the horse would be moved off the property, and later built another structure set well back from the property line to use for agricultural purposes. This sequence of events reinforced the Halls' feelings that Mr. Wasserman was improperly harassing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late March 2008, the Halls had removed the horse from the property. On March 28, Mr. Hall called the RCMP to report that someone might be trying to poison his horse. He observed that Mr. Wasserman had been complaining about the horse and that he suspected him. The next day, Mr. Hall called the police again, this time, to report that Mr. Wasserman was taking photos of him while he was working in his yard. Earlier, in January, Mr. Hall had complained about Mr. Wasserman walking up and down the fence line, and stated that the Halls felt like they were prisoners in their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Around the time of these events, in early 2008, feelings were intensifying and the parties were preparing for a possible chambers application. Instead of proceeding with a contested application, the parties, with the assistance of their respective counsel, consented to an order on March 5, 2008. The order restrained both parties from conducting surveillance of the other party or their respective property; it also required Mr. Wasserman to remove or redirect his surveillance equipment capturing images "so that the equipment does not capture any image of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that Mr. Wasserman complied with the order relating to the cameras. All were repositioned, and checked with the assistance of Mr. Lyons, to ensure they were not capturing images of the Hall property. In order to retain some images close to the fence line, albeit incompletely, Mr. Wasserman moved the tree-mounted camera to the tray of the stepladder described above. He placed the ladder about five feet south of the approximate mid-point of the property line and pointed the camera east towards Mutter Road. The field of view for the camera ended about ten feet south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Wasserman explained that the ladder kept falling over even though there was no obvious wind to cause it to do so. Clearly, he suspected the Halls of knocking it over but there is no evidence that the Halls trespassed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some point after Mr. Wasserman dismantled some of the fence paneling, Mr. Hall added eight-foot vertical boards to his side of the fence using lengthy nails to attach to a crosspiece that, in the result, protruded obviously, and potentially even dangerously so, on the south side of the fence. Mr. Hall explained that the protrusions were unavoidable because he could not go to the other side of the fence to bend the nails over. It is apparent from the photographs, however, that he could have used much shorter nails. I conclude that Mr. Hall intended to annoy.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behaviour of both parties, after the fence issue first arose, as set out above, with the exception of Mr. Wasserman's original expression of concern by email and his later legitimate complaint to the CVRD, was intended primarily to aggravate or annoy their neighbour. In my view, the parties are largely equally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level of distrust and animosity led, as well, to the misinterpretation of events that were likely benign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example, in late September or October 2007, Mr. Hall placed a replica crow on one of the fence posts. Mr. Wasserman interpreted its presence as a form of taunt but I am satisfied that it was placed there as part of Halloween decorations.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in April 2008, Mr. Hall was working on the irrigation system near the west end of the fence line over a period of several days. He used a large kitchen knife to assist in cutting roots. Mr. Wasserman produced a photo showing the knife placed in a horizontal position between a post and other fencing. The tip of the knife blade partially protruded on the south side of the fence. After Mr. Wasserman noticed the knife; he showed it to Ms. Ravnsborg. Both considered the positioning of the knife bizarre. Ms. Ravnsborg, for reasons that are not clear, reported the incident to Ministry personnel responsible for the welfare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Hall denied placing the knife in the position shown in the Wasserman photograph, although he admitted placing the knife in a different position on the fence to keep it out of reach of his children. I do not accept that the presence of the knife in the fence was an act aimed at either Mr. Wasserman or Ms. Ravnsborg.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well, on one occasion in June 2008, Mr. Wasserman was on his property near the fence line when he observed Mrs. Hall taking photographs. He assumed, wrongly, that Mrs. Hall was taking photographs of him contrary to the court order described above. I am satisfied that Mrs. Hall was simply taking pictures of the children playing in the back yard. She even offered Mr. Wasserman an opportunity to view the images on her camera but 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Similarly, the Halls mischaracterized some of Mr. Wasserman's actions. They accused him, variously, of recording their conversations; mimicking them; shaking posts, while he claimed ownership of them; and finally, intentionally shining his vehicle headlights on their house. None of this conduct was put to Mr. Wasserman in cross-examination. In later reply evidence, he denied the allegations. I accept Mr. Wasserman's evidence in such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June 2008, the Halls decided to sell their home and listed the property for sale. The property had not sold as at the time of trial. When the property was first listed, Mr. Wasserman made a point of contacting the realtor to tell her that the property should not be described, as it had been on the listing, as containing a barn and paddock. None of that was his business, but I accept that Mr. Wasserman was concerned that he might have a new neighbour someday who intended to use the residential accessory building near the fence line as a barn.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Mr. Wasserman and Mr. Hall present as overly anxious and combative individuals when challenged. Each is responsible for over-reacting and the stress that must have accompanied it. I am not prepared to parse the blame between them other than to say that; overall, I found the conduct of Mr. Hall the most discreditable.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did not accept all the evidence of any of the parties. All were incapable of objectivity and indulged in some exaggeration or inflammatory comment. Of the three, Mr. Hall was much the worse offender in this regard but both Mr. Wasserman and Mrs. Hall also demonstrated an ability to misinterpret events and then doggedly pursue allegations that had little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final submissions, counsel for Mr. Wasserman, who was not counsel at the time of the events in question, contended that his client attempted to resolve the fence issue amicably but received no cooperation. He suggested that the conduct of Mr. Hall, in particular, escalated the case into the various allegations and cross-allegations described at the beginning of these reasons. I agree with the first part but the second, as I address below, is complicated by the unfortunate decision of Mr. Wasserman and his then lawyer to set up surveillance cameras near the fence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is no doubt, as I set out at the beginning of my reasons that the fence encroaches on the Wasserman property although the degree of encroachment is minor. This engages the law of trespass that Fleming summarizes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6th Ed. (1983), at p. 39,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structure or other object is placed on another's land, not only the initial intrusion but also the failure to remove it constitute an actionable wrong. There is a "continuing trespass" as long as the object remains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a result, any encroachment, even if minute, is a trespass. It is not necessary for Mr. Wasserman to prove actual damages and here there are none: see </w:t>
      </w:r>
      <w:r>
        <w:rPr>
          <w:rFonts w:ascii="arial" w:eastAsia="arial" w:hAnsi="arial" w:cs="arial"/>
          <w:i/>
          <w:color w:val="000000"/>
          <w:sz w:val="20"/>
          <w:lang w:val="en-US" w:eastAsia="en-US" w:bidi="ar-SA"/>
        </w:rPr>
        <w:t>Boyle v. Rogers,</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[1921] 2 W.W.R. 704</w:t>
        </w:r>
      </w:hyperlink>
      <w:r>
        <w:rPr>
          <w:rFonts w:ascii="arial" w:eastAsia="arial" w:hAnsi="arial" w:cs="arial"/>
          <w:color w:val="000000"/>
          <w:sz w:val="20"/>
          <w:lang w:val="en-US" w:eastAsia="en-US" w:bidi="ar-SA"/>
        </w:rPr>
        <w:t>, at para. 8, aff'd [1922] 1 W.W.R. 206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pleadings and throughout the trial, the Halls maintained that the fence was wholly within the boundaries of their property. Their counsel conceded, for the first time in final submissions, that there was a minimal encroachment and submitted that the escalation of the dispute was entirely the responsibility of Mr. Wasserman.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accept the second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unfortunate that Mr. Hall neither accepted nor took the steps to accurately inform himself about the encroachment arising from the extension of his fence towards Mutter Road. Had he done so, he would have realized that the fence line drifted across the boundary onto Mr. Wasserman's property. He compounded his error by instructing the fencing crew to move the fence but, as it turns out, insufficiently to place it entirely on his own property. The case could and likely should have ended at that point with an application to the court based on full survey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Instead, Mr. Wasserman, on the advice of his then counsel, decided to install surveillance cameras. That act proved to be most incendiary and requires me to consider whether, and in what circumstances, the installation of security cameras on one's own property can result in an invasion of a neighbour's privacy or a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makes it a tort, actionable without proof of damages, for a person, wilfully and without claim of right, to violate the privacy of another (s. 1(1)). Section 1(4) provides, in part, that privacy may be violated by surveillance even in the absence of trespass. Of particular significance here are subsections (2) and (3) as they impose objective rather than subjective tests to be satisfied in determining the nature and degree of privacy to which a person is entitled and in determining whether a particular act or conduct is a violation of privacy. Section 1 in its entirety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 tort, actionable without proof of damage, for a person, wilfully and without a claim of right, to violate the privacy of another.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outlines exceptions and includes, of potential application here, s. 2(2)(b)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An act or conduct is not a violation of privacy if any of the following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incidental to the exercise of a lawful right of defence of person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According to counsel for the Halls, Mr. Wasserman breached the Halls' privacy by taking photos of them and their property as well as by installing surveillance cameras aimed at the Hall property. As to the latter, the submission was to the effect that capturing images of the Hall property on the surveillance cameras was not reasonable, although I observe that term only appears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modify the expectation of privacy not as a characterization of the act or conduct that allegedly violates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There has been relatively little judicial consideration of the legislative intent underlying s.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Nonetheless, it seems obvious that a person's reasonable expectation of privacy in his or her own home is ordinarily very high whereas surveillance in a public place would be substantially less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Milner v. Manufacturers Life Insurance Co. (c.o.b. Manulife Financial)</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[2005] B.C.J. No. 2632</w:t>
        </w:r>
      </w:hyperlink>
      <w:r>
        <w:rPr>
          <w:rFonts w:ascii="arial" w:eastAsia="arial" w:hAnsi="arial" w:cs="arial"/>
          <w:color w:val="000000"/>
          <w:sz w:val="20"/>
          <w:lang w:val="en-US" w:eastAsia="en-US" w:bidi="ar-SA"/>
        </w:rPr>
        <w:t xml:space="preserve"> (S.C.), the court addressed the effect of a private investigator conducting video surveillance of the plaintiff from a parked car in a public place through a window of the plaintiff's house at night. In </w:t>
      </w:r>
      <w:r>
        <w:rPr>
          <w:rFonts w:ascii="arial" w:eastAsia="arial" w:hAnsi="arial" w:cs="arial"/>
          <w:i/>
          <w:color w:val="000000"/>
          <w:sz w:val="20"/>
          <w:lang w:val="en-US" w:eastAsia="en-US" w:bidi="ar-SA"/>
        </w:rPr>
        <w:t>Milner</w:t>
      </w:r>
      <w:r>
        <w:rPr>
          <w:rFonts w:ascii="arial" w:eastAsia="arial" w:hAnsi="arial" w:cs="arial"/>
          <w:color w:val="000000"/>
          <w:sz w:val="20"/>
          <w:lang w:val="en-US" w:eastAsia="en-US" w:bidi="ar-SA"/>
        </w:rPr>
        <w:t>, the court affirmed the high expectation of privacy in one's home but went on to state that a plaintiff on private property who is in full view of passersby has no reasonable expectation of privacy (paras. 76 and 78). The court found that the plaintiff's expectation of privacy in her home on the night in question was low; the lights were on inside the house and the blinds on the window were open. Further, the plaintiff ought reasonably to have known that Manulife was investigating her claim and it was possible that video surveillance would be used (para. 83). Accordingly, the existence of a dispute may serve in some circumstances to reduce the level of privacy that one could otherwise expect even in their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the Halls had no reasonable expectation of privacy when working on or in the immediate area of the fence line but did, at all times, have a reasonable expectation of privacy when inside their own home. Unlike, the investigator in the </w:t>
      </w:r>
      <w:r>
        <w:rPr>
          <w:rFonts w:ascii="arial" w:eastAsia="arial" w:hAnsi="arial" w:cs="arial"/>
          <w:i/>
          <w:color w:val="000000"/>
          <w:sz w:val="20"/>
          <w:lang w:val="en-US" w:eastAsia="en-US" w:bidi="ar-SA"/>
        </w:rPr>
        <w:t>Milner</w:t>
      </w:r>
      <w:r>
        <w:rPr>
          <w:rFonts w:ascii="arial" w:eastAsia="arial" w:hAnsi="arial" w:cs="arial"/>
          <w:color w:val="000000"/>
          <w:sz w:val="20"/>
          <w:lang w:val="en-US" w:eastAsia="en-US" w:bidi="ar-SA"/>
        </w:rPr>
        <w:t xml:space="preserve"> case, the dispute with Mr. Wasserman did not entitle him to any information that might be obtained as a result of surveillance of activities inside the Hall residence. Accordingly, the Halls' expectation of privacy inside their home was very high throughout the entirety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the context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"wilfully" means "an intention to do an act which the person doing the act knew or ought to have known would violate the privacy of another person": see </w:t>
      </w:r>
      <w:r>
        <w:rPr>
          <w:rFonts w:ascii="arial" w:eastAsia="arial" w:hAnsi="arial" w:cs="arial"/>
          <w:i/>
          <w:color w:val="000000"/>
          <w:sz w:val="20"/>
          <w:lang w:val="en-US" w:eastAsia="en-US" w:bidi="ar-SA"/>
        </w:rPr>
        <w:t>Watts v. Klaemt</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[2007] B.C.J. No. 980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Hollinsworth v. BCTV, a division of Westcom TV Group Ltd.</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[1998] B.C.J. No. 2451</w:t>
        </w:r>
      </w:hyperlink>
      <w:r>
        <w:rPr>
          <w:rFonts w:ascii="arial" w:eastAsia="arial" w:hAnsi="arial" w:cs="arial"/>
          <w:color w:val="000000"/>
          <w:sz w:val="20"/>
          <w:lang w:val="en-US" w:eastAsia="en-US" w:bidi="ar-SA"/>
        </w:rPr>
        <w:t xml:space="preserve"> (B.C.C.A.) referred to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setting up of the cameras was a wilful act by Mr. Wasserman. Even though his primary intention was to capture events along the disputed fence line and on his own property, it was obvious that at least one camera also caught the Hall residence and parts of the yard in the background of the image. He knew or ought to have known that the recorded images would violate the Halls' privacy. That camera operated continuously from the fall of 2007 until the Court Order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Until the Halls raised additional screening at the fence and added reflective coating to their windows, the camera would have recorded images, albeit likely blurry ones, from within the Hall residence. While no such image was in evidence that is likely because the camera digitally erased images after a certain period of time unless the operator saved them to an archive. One of the archival images taken after the addition of the fence screening demonstrates the direct line between the camera lens and the side of the Hall residence including the area where their patio is located. The nature of the ongoing dispute did not justify such an intrusion. There is, in my view, a significant intrusion associated with the full-time video surveillance that Mr. Wasserman conducted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am satisfied, subject to my consideration below of s. 2(2)(b)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Mr. Wasserman's conduct in aiming the surveillance camera in the general direction of the house was wilful.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Counsel for Mr. Wasserman also submitted that Mr. Wasserman had a "claim of right" within s. 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legally justified the monitoring and recording. In </w:t>
      </w:r>
      <w:r>
        <w:rPr>
          <w:rFonts w:ascii="arial" w:eastAsia="arial" w:hAnsi="arial" w:cs="arial"/>
          <w:i/>
          <w:color w:val="000000"/>
          <w:sz w:val="20"/>
          <w:lang w:val="en-US" w:eastAsia="en-US" w:bidi="ar-SA"/>
        </w:rPr>
        <w:t>Hollinsworth</w:t>
      </w:r>
      <w:r>
        <w:rPr>
          <w:rFonts w:ascii="arial" w:eastAsia="arial" w:hAnsi="arial" w:cs="arial"/>
          <w:color w:val="000000"/>
          <w:sz w:val="20"/>
          <w:lang w:val="en-US" w:eastAsia="en-US" w:bidi="ar-SA"/>
        </w:rPr>
        <w:t xml:space="preserve"> referred to above, the Court of Appeal adopted the following definition,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honest belief in a state of facts which, if it existed, would be a legal justification or excuse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accept that there was any such legal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Wasserman did not assert a belief in any facts that would justify recording images of the Hall residence, its occupants or people in the immediate vicinity of the residence such as on the patio. His position is that the recording of the residence in the background of images was entirely incidental to protecting his property. As I have pointed out already, it was not necessary to record any images of the Hall residence to protect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Lastly, I turn to s. 2(2)(b). It does not assist Mr. Wasserman here. He was entitled to rely on video surveillance for the protection of his property but capturing images of the Hall residence was not necessary for that purpose. Indeed, Mr. Wasserman relocated the cameras to ensure that none captured any part of the Hall residence after the March 2008 Order without seriously compromising his interest in protecting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tort of nuisance is sufficiently broad to encompass Mr. Wasserman's video surveillance of the Hall residence as well. A private nuisance is established where a neighbour unreasonably and substantially interferes with another neighbours' use and enjoyment of his or her property. See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xml:space="preserve"> at para. 34. Substantial interference connotes more than mere inconvenience or minor discomfort. The test is an objective one and requires proof that the "interference is of a kind and extent that would not be tolerated by the ordinary occupier": see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view, any owner of rural property would find it intolerable to have a tree-mounted video camera constantly aimed in the direction of his or her residence. The Halls' reaction in adding screening to the top of the fence, covering their windows with reflective material and modifying their outside activities amply demonstrate that the effect of the surveillance went well beyond mere inconvenience here. Mr. Wasserman should have foreseen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Earlier in my reasons, I listed some of the conduct on both sides that was regrettable and, as a result, provocative and annoying. I do not accept that it amounted on either side to private nuisance as defined above. Even if it did, it would be unfair to place blame more on one than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result, Mr. Wasserman established a continuing trespass respecting the fence line along the common boundary line between his property and that of the Halls. It is unnecessary to deal with his other causes of action and they are, accordingly, dismissed. The Halls established a violation of privacy and private nuisance in relation to the video surveillance of their residence but the balance of their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Both sides claim general and punitive damages. It is evident from my reasons that I disapprove of the conduct of both Mr. Wasserman and Mr. Hall. If either man was solely responsible, I would order punitive damages to reflect my disapproval. There is no public benefit to be gained by ordering each party to pay punitive damages. I decline to award punitive damages to any party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damages for trespass associated with the encroachment would ordinarily be nominal and accompanied by an order directing the removal of the offending fence. This is because the encroachment was not intentional and was very minor. It did not interfere with Mr. Wasserman's use or intended use of his property near the boundary line, nor did it adversely affect the value of his property. Nonetheless, the encroachment not only continued but worsened somewhat after it should have been apparent to the Halls that the fence needed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Compensatory damages may take into account the aggravation and foreseeable mental distress flowing from the Halls' refusal to deal reasonably with the problem after it came to their attention: see </w:t>
      </w:r>
      <w:r>
        <w:rPr>
          <w:rFonts w:ascii="arial" w:eastAsia="arial" w:hAnsi="arial" w:cs="arial"/>
          <w:i/>
          <w:color w:val="000000"/>
          <w:sz w:val="20"/>
          <w:lang w:val="en-US" w:eastAsia="en-US" w:bidi="ar-SA"/>
        </w:rPr>
        <w:t>Winfield and Jolowicz on Tort</w:t>
      </w:r>
      <w:r>
        <w:rPr>
          <w:rFonts w:ascii="arial" w:eastAsia="arial" w:hAnsi="arial" w:cs="arial"/>
          <w:color w:val="000000"/>
          <w:sz w:val="20"/>
          <w:lang w:val="en-US" w:eastAsia="en-US" w:bidi="ar-SA"/>
        </w:rPr>
        <w:t>, 17th Ed., at p. 940. Taking all factors into account, an appropriate award of damages for the continuing trespass is $5,000. I award that amount to Mr. Wasserman.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the Halls must remove the entirety of the fence extending easterly from the 13 posts and fencing shown in Detail A of the Survey Plan dated April 29, 2008, that they commissioned. In other words, the fence within Detail A remains but the rest extending to Mutter Road is to be removed in accord with the order set out below. If I have overlooked any necessary consideration in setting out the terms of the order, counsel may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terms of the order for the removal of the fence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60 days calculated from the date of the release of these reasons to the parties, the Halls must remove the portion of the fence, as described above, entirely and restore the Wasserman property to the same condition it was in before the construction of any fencing;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Halls, or their agents, shall have a limited license to trespass no more than five feet over the common boundary line onto the Wasserman property for the sole purpose of removing the fence, including the separate posts, and restoring the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Halls, or their agents, shall deliver at least 48 hours written notice to Mr. Wasserman, or his designate, before any trespass described above;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Halls, or their agents, fail to remove the portion of the fence, as described above, entirely or to restore the Wasserman property to the same condition as it was in before the construction of any fencing, Mr. Wasserman will have leave to seek further damages for the cost of arranging the necessary work himself;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leave is granted to Mr. Wasserman, he shall have a limited license to trespass no more than five feet over the common boundary line onto the Hall property for the sole purpose of removing the fence and restoring the property;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removal of the existing fence, the Halls are permanently enjoined from constructing any new fence that encroaches, in whole or in part, on the Wasserman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turn next to the Halls'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Similar considerations apply to the award in favour of the Halls, whether for breach of privacy or nuisance, as did to Mr. Wasserman's award of damages for trespass. I propose to make a single award of damages in favour of the Halls in spite of the concurrent tort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Even though Mr. Wasserman set up the video monitoring so as to capture the Hall residence in the background of the images that was not his primary purpose. There is no evidence that he captured and permanently retained images of the Halls or any other member of their family. I accept that the Halls endured similar mental distress to that which Mr. Wasserman endured as a result of their tortuous conduct. I also take into account the Halls' out of pocket expense of about $1,500 associated with adding reflective window coverings to protect their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my view, a fit award of damages in favour of the Halls is $3,500. Although this award is less than the one in favour of Mr. Wasserman set out above, at paragraph 91, it is consonant with the award in </w:t>
      </w:r>
      <w:r>
        <w:rPr>
          <w:rFonts w:ascii="arial" w:eastAsia="arial" w:hAnsi="arial" w:cs="arial"/>
          <w:i/>
          <w:color w:val="000000"/>
          <w:sz w:val="20"/>
          <w:lang w:val="en-US" w:eastAsia="en-US" w:bidi="ar-SA"/>
        </w:rPr>
        <w:t>Heckert v. 5470 Investments Ltd.</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2008 BCSC 1298</w:t>
        </w:r>
      </w:hyperlink>
      <w:r>
        <w:rPr>
          <w:rFonts w:ascii="arial" w:eastAsia="arial" w:hAnsi="arial" w:cs="arial"/>
          <w:color w:val="000000"/>
          <w:sz w:val="20"/>
          <w:lang w:val="en-US" w:eastAsia="en-US" w:bidi="ar-SA"/>
        </w:rPr>
        <w:t>, for a relatively minor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end result, there is no real vindication for any party to this litigation. Unfortunately, the matters at issue were not entirely within the jurisdiction of the Small Claims Court. Mr. Wasserman successfully obtained injunctive relief that would not have been available in that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trial took 13 days but should have taken much less. All parties must bear the responsibility for that. Mr. Wasserman is entitled to recover his taxable costs on Scale B limited to five days of trial along with all reasonable disbursements that he incurred. The Halls shall bear their own costs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4"/>
          <w:headerReference w:type="default" r:id="rId1075"/>
          <w:footerReference w:type="even" r:id="rId1076"/>
          <w:footerReference w:type="default" r:id="rId1077"/>
          <w:headerReference w:type="first" r:id="rId1078"/>
          <w:footerReference w:type="first" r:id="rId10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0" w:history="1">
        <w:r>
          <w:rPr>
            <w:rFonts w:ascii="arial" w:eastAsia="arial" w:hAnsi="arial" w:cs="arial"/>
            <w:b/>
            <w:bCs/>
            <w:i/>
            <w:color w:val="0077CC"/>
            <w:kern w:val="32"/>
            <w:sz w:val="28"/>
            <w:szCs w:val="32"/>
            <w:u w:val="single"/>
            <w:shd w:val="clear" w:color="auto" w:fill="FFFFFF"/>
            <w:lang w:val="en-US" w:eastAsia="en-US" w:bidi="ar-SA"/>
          </w:rPr>
          <w:t>Young v. Lort, [2007] B.C.J. No. 1703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Nos. 04-0304 and 04-2367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Young and Marlene Young, Plaintiffs, and Barbara Lort, Luca Segato, Deborah Segato, Ruth Sutherland, Angela Pretty (aka Angela Cramer), Karen Mercy, and Leslie Beith, Defendants (Registry No. 04-0304) And between Marlene Young and Eric Young, Plaintiffs, and Anthony R. Borzoni, the Capital Regional District, the Capital Region Housing Corporation, Amy Jaarsma, Kate Joy, David Weeks, the Corporation of the District of Saanich, the Saanich Police Department, Chief Constable Derek Egan, Constable Philip Richmond, Constable Paul Luhowy, Constable S. Edwards (nee Taylor), and Constable Trevor Dyck, Defendants (Registry No. 04-2367)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2"/>
      <w:bookmarkEnd w:id="286"/>
      <w:r>
        <w:rPr>
          <w:rFonts w:ascii="arial" w:eastAsia="arial" w:hAnsi="arial" w:cs="arial"/>
          <w:b/>
          <w:color w:val="000000"/>
          <w:sz w:val="20"/>
          <w:lang w:val="en-US" w:eastAsia="en-US" w:bidi="ar-SA"/>
        </w:rPr>
        <w:t>Civil procedure — Striking out pleadings or allegations — Grounds — False, frivolous, vexatious or abuse of process — Res judicata — Applications by defendants in two actions for orders striking out claims from statement of claim and for dismissal of actions — Plaintiff tenants sued for damages for invasion of privacy, defamation, trespass and infliction of nervous shock after their eviction due to complaints about secondary marihuana smoke emanating from their apartment — Applications allowed — Actions dismissed — Res judicata, specifically issue estoppel, applied in both actions — Material facts for invasion of privacy not pleaded — Alleged defamatory words not defamatory.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Torts — Invasion of privacy — Personal information — Applications by defendants in two actions for orders striking out claims from statement of claim and for dismissal of actions — Plaintiff tenants sued for damages for invasion of privacy, defamation, trespass and infliction of nervous shock after their eviction due to complaints about secondary marihuana smoke emanating from their apartment — Applications allowed — Actions dismissed — Essential facts for invasion of privacy not pleaded — As plaintiffs' marihuana use had been made public by plaintiffs as determined in prior proceedings, claim for invasion of privacy was frivolous, vexatious and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Torts — Defamation — Defamatory statements — Applications by defendants in two actions for orders striking out claims from statement of claim and for dismissal of actions — Plaintiff tenants sued for damages for invasion of privacy, defamation, trespass and infliction of nervous shock after their eviction due to complaints about secondary marihuana smoke emanating from their apartment — Applications allowed — Alleged defamatory words, even if false, incapable of being defamatory — Statement that the odour of marihuana emanated from plaintiffs' unit unlikely capable of defamatory meaning — Alleged falsity of words used not admissible due to issue estoppel.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41"/>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defendants in two actions for orders striking out claims from statement of claim and for dismissal of actions -- Plaintiff tenants of property sued for damages after their eviction from subsidized housing due to complaints about secondary marihuana smoke emanating from their apartment that disturbed other tenants -- Male plaintiff used marihuana for medicinal purposes -- Plaintiffs had launched numerous prior proceedings alleging Charter and human rights breaches arising from same facts -- All proceedings and subsequent appeals dismissed -- Defendants argued present actions were attempts to relitigate issues previously heard and determined -- Actions were against former neighbours, landlord, police and other parties -- Plaintiffs sued for invasion of privacy for disclosure of plaintiff's medical right to use marihuana, intentional infliction of nervous shock due to allegation that second hand marihuana smoke came from plaintiffs' home, fraud, defamation, abuse of process and trespass -- HELD: Applications allowed -- Actions dismissed -- Res judicata, specifically issue estoppel, applied in both actions -- Plaintiffs have not pleaded essential facts for cause of action on invasion of privacy -- As plaintiffs' marihuana use had been made public by plaintiffs as determined in prior proceedings, claim for invasion of privacy was frivolous, vexatious and abuse of process -- Infliction of nervous shock claim did not allege intentional or calculating conduct but was based on wild speculation -- Plaintiffs estopped from alleging material facts which had already been subject of findings not disturbed on appeal -- Fraud claims were collateral attack on prior decisions and did not disclose reasonable cause of action -- Alleged defamatory words that several tenants had health problems related to plaintiff's marihuana smoke, even if false, incapable of being defamatory -- Statement that the odour of marihuana emanated from plaintiffs' unit unlikely capable of defamatory meaning -- Allegations that statement was false could not be made out -- Alleged falsity of the words used not admissible due to issue estoppel -- Unclear from pleadings what process plaintiffs complained was abusive -- Plain and obvious that plaintiffs unable to establish collateral or improper purpose for whatever process defendants undertook -- Claim for damages for trespass to land was vexatious.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35"/>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2"/>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E. Young and M.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defendants in both actions except the defendant Sutherland in Action No. 04-0304 and the defendant Borzoni in Action No. 04-2367: M.J. Hargreaves.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2"/>
      <w:bookmarkEnd w:id="290"/>
      <w:r>
        <w:pict>
          <v:line id="_x0000_s1249"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R.D. WILSON J."/>
            <w:bookmarkEnd w:id="291"/>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in each of the actions described above, apply for orders striking out pleas in the plaintiffs' statements of claim and dismissal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applications were heard together. These reasons deal with the disposition of both applications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common fact connecting the two actions is a tenancy agreement, made between the plaintiffs as tenant, and the Capital Region Housing Corporation as landlord, on 24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fact was also common to prior proceedings, including:</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Human Rights proceeding following complaint by plaintiffs on 5 November 2001; appeals from dismissal of complaint dismissed 6 May 2002 and 13 June 2002;</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arbitration in the matter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award issued 29 August 2002;</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arbitrator's award in the arbitration; award confirmed 4 October 2002;</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Victoria Registry Action No. 02-5145, between the plaintiffs as petitioners, and the Saanich Police Department and the Capital Regional District as respondents, seeking constitutional remedies for alleged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Victoria Registry Action No. 02-4528 between the plaintiffs as petitioners, and the Capital Region Housing Corporation as respondent, pursuant to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seeking judicial review of the arbitrator's awards of 29 August 2002 and 4 October 2002;</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petitions in Action No. 02-4528 and 02-5145 were heard together, and dismissed, on 13 June 2003 ( </w:t>
      </w:r>
      <w:hyperlink r:id="rId1081" w:history="1">
        <w:r>
          <w:rPr>
            <w:rFonts w:ascii="arial" w:eastAsia="arial" w:hAnsi="arial" w:cs="arial"/>
            <w:i/>
            <w:color w:val="0077CC"/>
            <w:sz w:val="20"/>
            <w:u w:val="single"/>
            <w:shd w:val="clear" w:color="auto" w:fill="FFFFFF"/>
            <w:lang w:val="en-US" w:eastAsia="en-US" w:bidi="ar-SA"/>
          </w:rPr>
          <w:t>2003 BCSC 926</w:t>
        </w:r>
      </w:hyperlink>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appealed the dismissal of their petition seeking constitutional remedies to the British Columbia Court of Appeal. The appeal was dismissed 16 April 2004 (</w:t>
      </w:r>
      <w:hyperlink r:id="rId1082" w:history="1">
        <w:r>
          <w:rPr>
            <w:rFonts w:ascii="arial" w:eastAsia="arial" w:hAnsi="arial" w:cs="arial"/>
            <w:i/>
            <w:color w:val="0077CC"/>
            <w:sz w:val="20"/>
            <w:u w:val="single"/>
            <w:shd w:val="clear" w:color="auto" w:fill="FFFFFF"/>
            <w:lang w:val="en-US" w:eastAsia="en-US" w:bidi="ar-SA"/>
          </w:rPr>
          <w:t>2004 BCCA 224</w:t>
        </w:r>
      </w:hyperlink>
      <w:r>
        <w:rPr>
          <w:rFonts w:ascii="arial" w:eastAsia="arial" w:hAnsi="arial" w:cs="arial"/>
          <w:color w:val="000000"/>
          <w:sz w:val="20"/>
          <w:lang w:val="en-US" w:eastAsia="en-US" w:bidi="ar-SA"/>
        </w:rPr>
        <w:t xml:space="preserve">). The plaintiffs' application for leave to appeal to the Supreme Court of Canada was dismissed 7 June 2004, </w:t>
      </w:r>
      <w:hyperlink r:id="rId1083" w:history="1">
        <w:r>
          <w:rPr>
            <w:rFonts w:ascii="arial" w:eastAsia="arial" w:hAnsi="arial" w:cs="arial"/>
            <w:i/>
            <w:color w:val="0077CC"/>
            <w:sz w:val="20"/>
            <w:u w:val="single"/>
            <w:shd w:val="clear" w:color="auto" w:fill="FFFFFF"/>
            <w:lang w:val="en-US" w:eastAsia="en-US" w:bidi="ar-SA"/>
          </w:rPr>
          <w:t>[2004] S.C.C.A. No. 255</w:t>
        </w:r>
      </w:hyperlink>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application of the defendant Borzoni in Action No. 04-2367, the plaintiffs claim against him was dismissed on 10 March 2005 (</w:t>
      </w:r>
      <w:hyperlink r:id="rId1084" w:history="1">
        <w:r>
          <w:rPr>
            <w:rFonts w:ascii="arial" w:eastAsia="arial" w:hAnsi="arial" w:cs="arial"/>
            <w:i/>
            <w:color w:val="0077CC"/>
            <w:sz w:val="20"/>
            <w:u w:val="single"/>
            <w:shd w:val="clear" w:color="auto" w:fill="FFFFFF"/>
            <w:lang w:val="en-US" w:eastAsia="en-US" w:bidi="ar-SA"/>
          </w:rPr>
          <w:t>2005 BCSC 1617</w:t>
        </w:r>
      </w:hyperlink>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appeal from the dismissal of the action against Borzoni was dismissed 23 January 2007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history of the disputes underlying the current actions has been thoroughly canvassed in those prior proceedings. Repetition of that history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each of those prior proceedings, findings of fact were made. That is significant because one of the arguments made by the applicants is that the plaintiffs, in these two actions, are seeking to litigate again issues previously heard and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contend that, unlike the previous proceedings, these two actions seek monetary damages for civil wrongs, said to have been perpetrated upon them, by the several defendants. They say that these two actions are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support of their argument, the plaintiffs rely upon decisions in previous litigation in which they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sometime in 2004, sued Ann McLellan, the Minister of Health or Attorney General for Canada, at the material times, and Her Majesty the Queen in Right of Canada. While that action was extant, Mr. Young filed a petition seeking a constitutional remedy, alleging that there had been an infringement of his section 7, 12 or 15 rights as defined in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The defendants applied to strike out the pleadings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the hearing of that application, the chambers judge found that "many of the matters pleaded in the amended petition are found in the statement of claim". The chambers judge cited </w:t>
      </w:r>
      <w:r>
        <w:rPr>
          <w:rFonts w:ascii="arial" w:eastAsia="arial" w:hAnsi="arial" w:cs="arial"/>
          <w:b/>
          <w:i/>
          <w:color w:val="000000"/>
          <w:sz w:val="20"/>
          <w:lang w:val="en-US" w:eastAsia="en-US" w:bidi="ar-SA"/>
        </w:rPr>
        <w:t>Great Pacific Contracting Ltd. v. Harwyn Properties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(1981), 29 B.C.L.R. 145</w:t>
        </w:r>
      </w:hyperlink>
      <w:r>
        <w:rPr>
          <w:rFonts w:ascii="arial" w:eastAsia="arial" w:hAnsi="arial" w:cs="arial"/>
          <w:color w:val="000000"/>
          <w:sz w:val="20"/>
          <w:lang w:val="en-US" w:eastAsia="en-US" w:bidi="ar-SA"/>
        </w:rPr>
        <w:t xml:space="preserve"> (S.C.) for the proposition that where the same relief is sought in two separate proceedings, the later cannot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chambers judge, however,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plaintiffs are unrepresented and while the rules cannot be changed for them, it is a factor I have borne in mind in this matter. I am not prepared to strike out the writ of summons in this action at this time. I am, however, going to make an order that these proceedings be stayed until such time as the claim for damages in the petition proceedings remains alive. When the claim for damages is withdrawn or the petition discontinued these proceedings may continue, subject to the decision that follows. [</w:t>
      </w:r>
      <w:hyperlink r:id="rId1086" w:history="1">
        <w:r>
          <w:rPr>
            <w:rFonts w:ascii="arial" w:eastAsia="arial" w:hAnsi="arial" w:cs="arial"/>
            <w:i/>
            <w:color w:val="0077CC"/>
            <w:sz w:val="20"/>
            <w:u w:val="single"/>
            <w:shd w:val="clear" w:color="auto" w:fill="FFFFFF"/>
            <w:lang w:val="en-US" w:eastAsia="en-US" w:bidi="ar-SA"/>
          </w:rPr>
          <w:t>2004 BCSC 995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appealed the determination of the chambers judge to the British Columbia Court of Appeal. Save for one plea in the statement of claim, the appeal was dismissed (</w:t>
      </w:r>
      <w:hyperlink r:id="rId1087" w:history="1">
        <w:r>
          <w:rPr>
            <w:rFonts w:ascii="arial" w:eastAsia="arial" w:hAnsi="arial" w:cs="arial"/>
            <w:i/>
            <w:color w:val="0077CC"/>
            <w:sz w:val="20"/>
            <w:u w:val="single"/>
            <w:shd w:val="clear" w:color="auto" w:fill="FFFFFF"/>
            <w:lang w:val="en-US" w:eastAsia="en-US" w:bidi="ar-SA"/>
          </w:rPr>
          <w:t>2005 BCCA 563</w:t>
        </w:r>
      </w:hyperlink>
      <w:r>
        <w:rPr>
          <w:rFonts w:ascii="arial" w:eastAsia="arial" w:hAnsi="arial" w:cs="arial"/>
          <w:color w:val="000000"/>
          <w:sz w:val="20"/>
          <w:lang w:val="en-US" w:eastAsia="en-US" w:bidi="ar-SA"/>
        </w:rPr>
        <w:t>). The Court of Appeal did not address the issue of duplicate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do not find </w:t>
      </w:r>
      <w:r>
        <w:rPr>
          <w:rFonts w:ascii="arial" w:eastAsia="arial" w:hAnsi="arial" w:cs="arial"/>
          <w:b/>
          <w:i/>
          <w:color w:val="000000"/>
          <w:sz w:val="20"/>
          <w:lang w:val="en-US" w:eastAsia="en-US" w:bidi="ar-SA"/>
        </w:rPr>
        <w:t>Young v. McLellan</w:t>
      </w:r>
      <w:r>
        <w:rPr>
          <w:rFonts w:ascii="arial" w:eastAsia="arial" w:hAnsi="arial" w:cs="arial"/>
          <w:color w:val="000000"/>
          <w:sz w:val="20"/>
          <w:lang w:val="en-US" w:eastAsia="en-US" w:bidi="ar-SA"/>
        </w:rPr>
        <w:t xml:space="preserve"> to be persuasive authority supporting the proposition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will appear below, it is plain and obvious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specifically the species issue estoppel, is applicable in the two present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Application of the doctrine is not new to these proceedings. In </w:t>
      </w:r>
      <w:r>
        <w:rPr>
          <w:rFonts w:ascii="arial" w:eastAsia="arial" w:hAnsi="arial" w:cs="arial"/>
          <w:b/>
          <w:i/>
          <w:color w:val="000000"/>
          <w:sz w:val="20"/>
          <w:lang w:val="en-US" w:eastAsia="en-US" w:bidi="ar-SA"/>
        </w:rPr>
        <w:t>Young v. Saanich Police Department</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2004 BCCA 224</w:t>
        </w:r>
      </w:hyperlink>
      <w:r>
        <w:rPr>
          <w:rFonts w:ascii="arial" w:eastAsia="arial" w:hAnsi="arial" w:cs="arial"/>
          <w:color w:val="000000"/>
          <w:sz w:val="20"/>
          <w:lang w:val="en-US" w:eastAsia="en-US" w:bidi="ar-SA"/>
        </w:rPr>
        <w:t>), the Court of Appeal said,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facts as found by the arbitrator bind the appellants and would have bound the Housing Corporation had it been added as a party to the proceeding: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Authority for the Defendants' Current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applications are founded on Rule 19(24)(a), (b) and (d) of the Rules of Court: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endorsement, pleading, petition or other document on the ground that</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Subrule 27 is also material to these applications: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common ground that the power conferred by Rule 19(24) is not to be exercised unless it is plain and obvious that the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Action No. 04-2367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28 June 2007, the plaintiffs filed an amended statement of claim in this action. As well, they filed a document known as "further and better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contend that the amended statement of claim pleads the following causes of action:</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invasion of privacy;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infliction of nervous shock;</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the purposes of my analysis, I accept the definition of "cause of action" as the fact or combination of facts which give rise to a remedy prescribed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Invasion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facts pleaded to found the claim of invasion of privacy are as follows: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Joy and Weeks disclosed private medical information about Mr. Young to third parties (paragraph 48);</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10 June 2002 the defendant Weeks disclosed private medical information, namely that Mr. Young has multiple sclerosis and has the medical right to use marihuana, to a third party (paragraph 51);</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representative of the defendant Capital Region Housing Corporation disclosed private medical information on Mr. Young, namely by advising a prospective tenant that there was someone in the building who had a permit to use marihuana for medicinal purposes (paragraph 55);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damages as a result of the disclosure of private medical information by the defendants Joy and Weeks (paragraph 87a).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invasion of privacy claim is said to be brought pursuant to the provisions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1 of the statute prescribes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tort, actionable without proof of damage, for a person, wilfully and without a claim of right, to violate the privacy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was considered in </w:t>
      </w:r>
      <w:r>
        <w:rPr>
          <w:rFonts w:ascii="arial" w:eastAsia="arial" w:hAnsi="arial" w:cs="arial"/>
          <w:b/>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(1971), 17 D.L.R. (3d) 760</w:t>
        </w:r>
      </w:hyperlink>
      <w:r>
        <w:rPr>
          <w:rFonts w:ascii="arial" w:eastAsia="arial" w:hAnsi="arial" w:cs="arial"/>
          <w:color w:val="000000"/>
          <w:sz w:val="20"/>
          <w:lang w:val="en-US" w:eastAsia="en-US" w:bidi="ar-SA"/>
        </w:rPr>
        <w:t xml:space="preserve"> (B.C.C.A.). The Court of Appeal held, at page 763, that, to constitute a tort the violation must be committed "wilfully and without a claim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Manifestly therefore, the plaintiffs must plead, and prove, conduct which was both wilful and without claim of right. Those are material facts which must be pleaded pursuant to the Rules of Court: Rule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above, the Court of Appeal said, among other things,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fact" is defined in </w:t>
      </w:r>
      <w:r>
        <w:rPr>
          <w:rFonts w:ascii="arial" w:eastAsia="arial" w:hAnsi="arial" w:cs="arial"/>
          <w:b/>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[2005] B.C.J. No. 573</w:t>
        </w:r>
      </w:hyperlink>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xml:space="preserve"> at paragraph 9 as, "one that is essential in order to formulate a complete cause of action. If a material fact is omitted, a cause of action is not effectively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have not pleaded essential facts for a cause of action on invasion of privacy. They say, however, on the authority of </w:t>
      </w:r>
      <w:r>
        <w:rPr>
          <w:rFonts w:ascii="arial" w:eastAsia="arial" w:hAnsi="arial" w:cs="arial"/>
          <w:b/>
          <w:i/>
          <w:color w:val="000000"/>
          <w:sz w:val="20"/>
          <w:lang w:val="en-US" w:eastAsia="en-US" w:bidi="ar-SA"/>
        </w:rPr>
        <w:t>Peters-Brown v. Regional District Health Board</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(1995), 26 C.C.L.T. (2d) 316</w:t>
        </w:r>
      </w:hyperlink>
      <w:r>
        <w:rPr>
          <w:rFonts w:ascii="arial" w:eastAsia="arial" w:hAnsi="arial" w:cs="arial"/>
          <w:color w:val="000000"/>
          <w:sz w:val="20"/>
          <w:lang w:val="en-US" w:eastAsia="en-US" w:bidi="ar-SA"/>
        </w:rPr>
        <w:t xml:space="preserve"> (Sask. Q.B.), appeal dismissed </w:t>
      </w:r>
      <w:hyperlink r:id="rId1091" w:history="1">
        <w:r>
          <w:rPr>
            <w:rFonts w:ascii="arial" w:eastAsia="arial" w:hAnsi="arial" w:cs="arial"/>
            <w:i/>
            <w:color w:val="0077CC"/>
            <w:sz w:val="20"/>
            <w:u w:val="single"/>
            <w:shd w:val="clear" w:color="auto" w:fill="FFFFFF"/>
            <w:lang w:val="en-US" w:eastAsia="en-US" w:bidi="ar-SA"/>
          </w:rPr>
          <w:t>(1996), 31 C.C.L.T. (2d) 302</w:t>
        </w:r>
      </w:hyperlink>
      <w:r>
        <w:rPr>
          <w:rFonts w:ascii="arial" w:eastAsia="arial" w:hAnsi="arial" w:cs="arial"/>
          <w:color w:val="000000"/>
          <w:sz w:val="20"/>
          <w:lang w:val="en-US" w:eastAsia="en-US" w:bidi="ar-SA"/>
        </w:rPr>
        <w:t xml:space="preserve"> (Sask. C.A.), that disclosure of private medical information, simpliciter, constitutes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reliance on </w:t>
      </w:r>
      <w:r>
        <w:rPr>
          <w:rFonts w:ascii="arial" w:eastAsia="arial" w:hAnsi="arial" w:cs="arial"/>
          <w:b/>
          <w:i/>
          <w:color w:val="000000"/>
          <w:sz w:val="20"/>
          <w:lang w:val="en-US" w:eastAsia="en-US" w:bidi="ar-SA"/>
        </w:rPr>
        <w:t>Peters-Brown</w:t>
      </w:r>
      <w:r>
        <w:rPr>
          <w:rFonts w:ascii="arial" w:eastAsia="arial" w:hAnsi="arial" w:cs="arial"/>
          <w:color w:val="000000"/>
          <w:sz w:val="20"/>
          <w:lang w:val="en-US" w:eastAsia="en-US" w:bidi="ar-SA"/>
        </w:rPr>
        <w:t xml:space="preserve"> is misplaced.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Peters-Brown</w:t>
      </w:r>
      <w:r>
        <w:rPr>
          <w:rFonts w:ascii="arial" w:eastAsia="arial" w:hAnsi="arial" w:cs="arial"/>
          <w:color w:val="000000"/>
          <w:sz w:val="20"/>
          <w:lang w:val="en-US" w:eastAsia="en-US" w:bidi="ar-SA"/>
        </w:rPr>
        <w:t xml:space="preserve">, private medical information of the plaintiff was communicated to third parties. Liability was found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court expressly rejected the claim by Ms. Peters-Brown for violation of privacy by adopting the "narrow interpretation" in </w:t>
      </w:r>
      <w:r>
        <w:rPr>
          <w:rFonts w:ascii="arial" w:eastAsia="arial" w:hAnsi="arial" w:cs="arial"/>
          <w:b/>
          <w:i/>
          <w:color w:val="000000"/>
          <w:sz w:val="20"/>
          <w:lang w:val="en-US" w:eastAsia="en-US" w:bidi="ar-SA"/>
        </w:rPr>
        <w:t>Davis v. McArthur</w:t>
      </w:r>
      <w:r>
        <w:rPr>
          <w:rFonts w:ascii="arial" w:eastAsia="arial" w:hAnsi="arial" w:cs="arial"/>
          <w:color w:val="000000"/>
          <w:sz w:val="20"/>
          <w:lang w:val="en-US" w:eastAsia="en-US" w:bidi="ar-SA"/>
        </w:rPr>
        <w: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result, applying Rule 19(24)(a) the pleas in support of a claim of invasion of privacy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say, however, that the plain and obvious rule applies to the pleadings or, the pleadings "as may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Unlike Rule 19(24)(a), evidence is admissible on any application involving further amendment to the amended statement of claim. Among other things, the court will not order "useless" amendments: </w:t>
      </w:r>
      <w:r>
        <w:rPr>
          <w:rFonts w:ascii="arial" w:eastAsia="arial" w:hAnsi="arial" w:cs="arial"/>
          <w:b/>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(B.C.S.C.); appeal allowed in part </w:t>
      </w:r>
      <w:hyperlink r:id="rId1092" w:history="1">
        <w:r>
          <w:rPr>
            <w:rFonts w:ascii="arial" w:eastAsia="arial" w:hAnsi="arial" w:cs="arial"/>
            <w:i/>
            <w:color w:val="0077CC"/>
            <w:sz w:val="20"/>
            <w:u w:val="single"/>
            <w:shd w:val="clear" w:color="auto" w:fill="FFFFFF"/>
            <w:lang w:val="en-US" w:eastAsia="en-US" w:bidi="ar-SA"/>
          </w:rPr>
          <w:t>(1982), 30 B.C.L.R. (2d) 50</w:t>
        </w:r>
      </w:hyperlink>
      <w:r>
        <w:rPr>
          <w:rFonts w:ascii="arial" w:eastAsia="arial" w:hAnsi="arial" w:cs="arial"/>
          <w:color w:val="000000"/>
          <w:sz w:val="20"/>
          <w:lang w:val="en-US" w:eastAsia="en-US" w:bidi="ar-SA"/>
        </w:rPr>
        <w:t xml:space="preserve"> (B.C.C.A.); principles governing amendment affirmed </w:t>
      </w:r>
      <w:r>
        <w:rPr>
          <w:rFonts w:ascii="arial" w:eastAsia="arial" w:hAnsi="arial" w:cs="arial"/>
          <w:b/>
          <w:i/>
          <w:color w:val="000000"/>
          <w:sz w:val="20"/>
          <w:lang w:val="en-US" w:eastAsia="en-US" w:bidi="ar-SA"/>
        </w:rPr>
        <w:t>Hatch v. Kelly Peters &amp; Associates Ltd.</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(1988), 30 B.C.L.R. (2d) 52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An application for an amendment in this case would be "useless" because it is plain and obvious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applicable: </w:t>
      </w:r>
      <w:r>
        <w:rPr>
          <w:rFonts w:ascii="arial" w:eastAsia="arial" w:hAnsi="arial" w:cs="arial"/>
          <w:b/>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(B.C.C.A.) at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is so because the plaintiffs have pleaded the disclosure of "private" medical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his reasons for judgment, </w:t>
      </w:r>
      <w:hyperlink r:id="rId1081" w:history="1">
        <w:r>
          <w:rPr>
            <w:rFonts w:ascii="arial" w:eastAsia="arial" w:hAnsi="arial" w:cs="arial"/>
            <w:i/>
            <w:color w:val="0077CC"/>
            <w:sz w:val="20"/>
            <w:u w:val="single"/>
            <w:shd w:val="clear" w:color="auto" w:fill="FFFFFF"/>
            <w:lang w:val="en-US" w:eastAsia="en-US" w:bidi="ar-SA"/>
          </w:rPr>
          <w:t>2003 BCSC 926</w:t>
        </w:r>
      </w:hyperlink>
      <w:r>
        <w:rPr>
          <w:rFonts w:ascii="arial" w:eastAsia="arial" w:hAnsi="arial" w:cs="arial"/>
          <w:color w:val="000000"/>
          <w:sz w:val="20"/>
          <w:lang w:val="en-US" w:eastAsia="en-US" w:bidi="ar-SA"/>
        </w:rPr>
        <w:t>, Mr. Justice Macaulay found, among other facts, that:</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9 October 2001, Mr. Young informed a representative, or representatives, of the Capital Region Housing Corporation of his medicinal use of marihuana;</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18 October 2001, Mr. Young produced his exemption letter from Health Canada to Ms. Joy, and a Ms. Webster, both representatives of the Corporation;</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20 October 2001, the plaintiffs posted a note on the outside of the door to their suite, advising their fellow tenants of Mr. Young's medical condition and his exemption from Health Canada;</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the plaintiffs displayed a sign, depicting a marihuana leaf, with the words "Liberate Medicinal Marijuana";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January 2002, the plaintiffs erected a second sign, containing the words "Marijuana is Medicine" written in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Those issues of fact will not be retried. Manifestly, this court has found that Mr. Young's medical information was not private. Indeed, by their own conduct, the plaintiffs have made that information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face of Mr. Justice Macaulay's findings, and the application of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doctrine, the plaintiffs' claim for invasion of privacy is frivolous, vexatious and an abuse of process. It is plain and obvious that the invasion of privacy claim is bound to fail. The pleadings must , as well, be struck out pursuant to Rule 19(24)(b)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Intentional Infliction of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contend that the material facts in support of their claim of intentional infliction of nervous shock, are pleaded at paragraphs 44, 47, 47a, 47b, 48a, 52, 54, 60 and 88, of the amended statement of claim, as particularized.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What the plaintiffs appear to be alleging in those pleas is: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Jaarsma, anonymously, wrote letters falsely alleging that second-hand marihuana smoke was coming from the plaintiffs' home;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Unidentified representatives of the Capital Region Housing Corporation typed anonymous letters, containing false statements about the odour of marihuana coming from the plaintiffs' residence and urging the plaintiffs' neighbours to complain to the Corporation;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Jaarsma, Joy and Weeks engaged in a pattern of harassment by malicious correspondence, attempts to inspect, trespassing, taking pictures and watching the plaintiffs and their home;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Chief Constable Egan, of the Saanich Police Department, sent the defendants, Richmond, Luhowy, Edwards (nee Taylor) and Dyck to the plaintiffs' residence, in response to complaints to the Saanich Police Department, emanating from the residential complex;</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Constables Richmond, Luhowy, Edwards (nee Taylor) and Dyck harassed the plaintiffs;</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Constables Egan, Richmond, Luhowy, Edwards and Dyck knew that it would be upsetting to be wrongly accused of causing marihuana smoke to emanate from the plaintiffs' apartment;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bouts of depression and have been on the verge of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a nice question whether those pleas, on an inquiry limited to the words used, allege the essential ingredients of this tort, namely:</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flagrant or outrageous conduct;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calculated to produce harm;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resulting in a visible and provable illness;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paragraph 24, citing with approval, </w:t>
      </w:r>
      <w:r>
        <w:rPr>
          <w:rFonts w:ascii="arial" w:eastAsia="arial" w:hAnsi="arial" w:cs="arial"/>
          <w:b/>
          <w:i/>
          <w:color w:val="000000"/>
          <w:sz w:val="20"/>
          <w:lang w:val="en-US" w:eastAsia="en-US" w:bidi="ar-SA"/>
        </w:rPr>
        <w:t>Prinzo v. Baycrest Centre for Geriatric Care</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(2002), 60 O.R. (3d) 474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with the history of this protracted litigation in mind, a "skeptical analysis" of these pleadings puts the issue beyond any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do not allege any intentional or calculating conduct; their claim is based on "wild speculation":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at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 example of the plaintiffs' "wild speculation",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Sutherland was employed in the offices of Mr. Young's medical practitioner;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Sutherland read the content of Mr. Young's medical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several occasions, the plaintiffs saw the defendant Sutherland's husband who presented with a "certain look, of disgust, disdain, loathing"; he was "confrontational, not friendly".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Ms. Sutherland disclosed the content of Mr. Young's medical file to Mr.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Similarly: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Sutherland was employed in the offices of Mr. Young's medical practitioner;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Sutherland read the content of Mr. Young's medical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Jaarsma wrote an anonymous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the defendant Sutherland disclosed the content of Mr. Young's medical file to the defendant Jaarsma.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Young says that in all of the circumstances, there is no other rational conclusion. I reject that contention. It ignores the universal findings in prior proceedings that the precipitant for all this litigious activity was the neighbours' aversion to second-hand smoke emanating from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Young goes further. He said, in argument, that although the plaintiffs have not pleaded a civil conspiracy, the conduct of all of these defendants was part of a "strategy" to "deal with" the plaintiffs -- that is to say, to get them out of their residential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perhaps, to this kind of assertion that Mr. Justice Macaulay said that the Youngs had "... taken a string of relatively benign unconnected events and forced them into a conspiracy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Young argued that taking one of the plaintiffs' complaints at a time, the alleged conduct of the defendants may not constitute the tort of intentional infliction of nervous shock; rather he said, it was the cumulative effect of the "strategy" which inflicted the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a sufficient compendium of findings of fact which demonstrate that the plaintiffs will not be in a position to prove the allegations they have made. Those findings of fact do not support the plaintiffs' allegations. The paragraphs set out above, which found the claim for intentional infliction of nervous shock, are struck out pursuant to Rule 19(24)(a), (b)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further explanation of that finding, it has been consistently found as a fact, that the irritant precipitating the events at the housing complex was the escape of second-hand smoke from the use of marihuana by Mr. Young. That issue will not be tried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at paragraph 40, found the initial letter complained of by the plaintiffs in paragraph 47a of their amended statement of claim, to be "... but a courteous suggestion that the appellants allow smoke to disperse outside through windows or doors, rather than into the common hallways of the building". The court will not retry the plaintiffs' allegation that the letter "falsely alleged second-hand smoke".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Justice Macaulay made this finding at paragraph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simply not persuaded on the evidence before me that any of these individuals acted in concert with any of the respondents to discriminate against the petitioners. Nor do I accept that the police had any interest whatsoever in the eviction of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Justice Macaulay canvassed the evidence relating to the involvement of the Saanich Police department in this affair and concluded that the conduct of the members of the Saanich Police department was beyond reproach. There being no legal entity known as "the Saanich Police Department", the evidence must refer to the conduct of the officers named as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do not contend that the evidence referred to by Mr. Justice Macaulay is any different than the evidence they would seek to tender in these proceedings. Their position is that it is the remedy which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must be clear from the foregoing, the plaintiffs are estopped from alleging material facts which have already been the subject of findings not disturbed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say that the material facts in support for a claim for a remedy in fraud are pleaded at paragraphs 41, 47a, 47b, 47c, 56, 61, 63, 90 and 91 of the amended statement of claim, as particularized. The allegations in those pleas appear to be the following:</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Jaarsma wrote an anonymous letter falsely alleging that second-hand marihuana was coming from the plaintiffs' home;</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Representatives of the defendant Capital Region Housing Corporation typed anonymous letters falsely alleging detrimental effects of marihuana smoke;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that there was no second-hand smoke in the hallway of the complex;</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Jaarsma made submissions to the B.C. Human Rights Commission,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arbitration, the Supreme Court of British Columbia, the British Columbia Court of Appeal and the Supreme Court of Canada based upon the fraudulent claim that the initial letter had been written by neighbours;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lost possession of their unit on 31 October 2003;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eviction of the plaintiffs from their unit resulted in increased cost for housing and financial loss through litigation costs in all of the previous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pleas are a collateral attack on the decisions of the British Columbia Human Rights Commission, the arbitration proceedings, the Supreme Court of British Columbia and British Columbia Court of Appeal decisions, and the decision by the Supreme Court of Canada to refuse leave to appeal. If any of those decisions was based upon a fraud, then proceedings must be taken in those proceedings to set aside the decisions, not in a claim for damages based on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Manifestly, those pleas do not disclose a reasonable claim, and are struck out by the application of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Alternatively, it is an essential averment in a claim for either fraudulent or negligent misrepresentation that the false statement caused loss. On a skeptical analysis of the pleadings on this cause of action, it is clear that the loss pleaded by the plaintiffs was not caused by anything the defendants or any of them may have written, but rather as a result of the plaintiffs' uncompromising attitude about the detrimental effects of second-hand marihuana smoke on their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Further, the plaintiffs' pursuit of a retrial of matters previously heard and determined is frivolous, vexatious and an abuse of the court's process. On those grounds as well, the pleas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say the material facts in support of their claim in defamation are pleaded at paragraphs 47b, 58 and 87 of the amended statement of claim, as particularized.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words complained of in paragraph 47b are said to have been authored by one or more employees and/or officers of the defendant Capital Region Housing Corporation, containing false statements of and concerning Mr. Young. The plaintiffs say the offending words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sure by now you have all experienced in one form or the other the disgusting odour of marihuana that permeates through the first floor of our building and in most cases into our suites themselves. ... I have serious concerns about my children in direct contact with this odour and residues. It has entered my suite. I can smell it in my kitchen. I can smell it in my children's bedroom and now have serious concerns about the health and welfare of not only my children but of yours also. ... I have great empathy for the individual responsible for this as my sister suffers from the same ailment. ... I believe strongly in a right to do as we choose in our own homes -- provided it does not affect other people.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paragraph 58, the offending words are said to be in a false statement made by the defendant Jaarsma to a news reporter, subsequently published on the National Evening News and the CH News website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Five tenants have health problems related to the marihuana smoke.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paragraph 87, the plaintiffs allege: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damages as a result of the false statements of defendant Amy Jaarsma and of one or more employees and/or officers of defendant CRHC.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Even if the words complained of in those pleas were false, they are not, in their ordinary meaning, capable of being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argument, Mr. Young contended however that the insinuation, or innuendo from the words used was that the Youngs were "bad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Rule 19(12) of the Rules of Court, prescribes:</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for libel or slander,</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alleges that the words or matter complained of were used in a derogatory sense other than their ordinary meaning, the plaintiff shall give particulars of the facts and matters on which the plaintiff relies in support of that sense,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Those material facts are not pleaded. Accordingly, a cause of action in defamation has not been effectively pleaded. See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paragraph 20, citing with approval </w:t>
      </w:r>
      <w:r>
        <w:rPr>
          <w:rFonts w:ascii="arial" w:eastAsia="arial" w:hAnsi="arial" w:cs="arial"/>
          <w:b/>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xml:space="preser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Accordingly, applying Rule 19(24)(a), these pleas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Additionally, the evidence necessary to prove the alleged falsity of the words used, would not be admissible on the application of the issue estoppel principle. All of the prior proceedings found as a fact that second-hand smoke from the plaintiffs' unit adversely affected the plaintiffs' neighbours. It is plain and obvious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will apply to this cause of action and as equally plain and obvious that the action is bound to fail. The pleas are therefore struck out by the application of Rule 19(24)(b)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say that the material facts alleged in the amended statement of claim, as particularized, in support of their claim for abuse of process are found at paragraphs 40, 41, 47, 47a, 47b, 53, 61, 90 and 91. It is not clear from the proceedings what process the plaintiffs complain was abusive. During argument, Mr. Young appeared to suggest that the abuse lies in the applications by the defendants for summary determination of their claims for compensation, for which, they say, they are legally entitled, even though all of the originating proceedings which have gone before were initiated by the plaintiffs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argue that the essential elements of this tort are:</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must have brought the civil process;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have been brought for a collateral and improper purpose;</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an overt act or threat, independent of the litigation, designed to secure the defendants' improper purpose;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pleadings do not identify what civil process is the process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allegations referred to by the plaintiffs in their argument, noted above, amount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First, at paragraphs 47a and 47b, the plaintiffs allege the letter penned by the defendant Jaarsma is false, as is the letter distributed to the neighbours, alleged at paragraph 47b.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They allege further at paragraph 47 that Ms. Jaarsma, Ms. Joy and Mr. Weeks engaged in a pattern of harassment, evidenced by malicious written correspondence, attempts to inspect, trespassing, taking of pictures and watching of the plaintiffs and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allege at paragraph 41, that the defendants knew there was no smoke in the hallway.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Then, at paragraph 40, as particularized, the plaintiffs allege that the defendant Jaarsma and other representatives of the Capital Regional District and the Capital Region Housing Corporation were intolerant to the idea that the plaintiffs may be cultivating cannabis for medicinal purposes in a social housing complex and intended, in bad faith, to provoke the plaintiffs into moving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They then plead, at paragraph 53, that based on the "pretence of disturbance from marihuana smoke from plaintiff Eric Young, the defendant Capital Region Housing Corporation served the plaintiffs with a termination notice for the purpose of preventing the plaintiffs from cultivating medical marihuana in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They allege at paragraph 61 that an order of possession was obtained by the Corporation on 15 July 2003 and, on 31 October 2003, the plaintiffs lost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paragraph 90 and 91, they allege that the eviction from public social housing has resulted in an increased living expense and resulting financial loss through litigation costs incurred as a result of all of the previous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substance of the plaintiffs' complaint, as taken from Mr. Young's submissions, is that the collateral or improper purpose of the proceedings, whatever they were, were to force these plaintiffs out of their subsidized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These pleas attract a skeptical analysis. With the history of this protracted litigation in mind, it is plain and obvious that the plaintiffs will be unable to establish a "collateral or improper purpose" for whatever process the defendants, or any of them, undertook. The pleas said to found an action for an abuse of process are struck out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For the reasons given above, it is also plain and obvious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will apply to this claim. The abuse of process pleas are also subject to being struck out by the application of Rule 19(24)(b) and (d) as frivolous, vexatious and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Action No. 04-0304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in this action were former neighbours of the plaintiffs in the housing complex. From these defendants, the plaintiffs seek monetary damages on three alleged causes of action:</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 to inflict nervous shock;</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and</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Intent to Inflict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support of this claim, the plaintiffs plead as follows:</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part of an informal group of individuals who out of hatred for the plaintiffs because of plaintiff Eric Young's medication, cannabis, intended to cleanse the neighbourhood of what they perceived to be a problem.</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defendants intentionally exhibited a pattern of harassment to make the plaintiffs feel unwanted over a period of more than two years to drive the plaintiffs out of their subsidized home, including but not limited to, attempts to collide with the plaintiffs' moving car, vandalism to the plaintiffs' property, uttering threats, and watching of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To succeed in a claim of intentional infliction of nervous shock, the plaintiffs must plead, and prove:</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overt act, or acts, by the defendants;</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 to produce the harm of a kind which results from the act, or acts;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Resultant nervous shock sustained directly by the plaintiffs and consequent physical injury arising from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An allegation that the conduct was designed to "make the plaintiffs feel unwanted" does not comply with the required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Paragraphs 28 and 29 are struck out because it is plain and obvious that the claim for intention to inflict nervous shock is bound to fail: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These pleas are also struck out as frivolous, vexatious and an abuse of process by the application of Rule 19(24)(b) and (d). Prior proceedings have consistently found that the conduct of the defendants had nothing to do with their wanting to make the plaintiffs feel unwanted; but everything to do with the adverse effects of second-hand marihuana smoke.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pleas in support of this claim are made at paragraphs 30 through 72, both inclusive,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These paragraphs allege a series of oral complaints by named defendants to the "CRD Housing Corporation" about the smell of marihuana smoke. The plaintiffs plead that they are referred to in paragraphs 32, 35, 38, 40, 43, 52, 54, 55, 56, 57, 59, 60 and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complaints are alleged to cover the period 24 October 2001 through 28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Paragraphs 37, 42, 45, 47, 51, 58, 59 and 62 allege similar complaints in writing, by email or letter; and at paragraph 71, the plaintiffs allege that the defendants Lort, Beith and Mercy made a statement, particularized at paragraph 11 of the plaintiffs' reply, that "several families have already moved away because of Young's smoking", which was published on the National Evening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paragraph 30 the plaintiffs allege that the statements not explicitly referring to the plaintiff Mr. Young were "presumed to refer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Under the heading "Damages", the plaintiffs make the following pleas:</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defamatory statements and conduct, the plaintiffs lost their peace and quiet enjoyment of their home, including their patio ...</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sent all defendants' letters ... to confront them with their statements and with the effects on the plaintiffs' lives but none have apologized.</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defamatory statements and conduct ... has caused severe emotional stress and mental anguish.</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experiencing bouts of depression and have been on the verge of suicide.</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Eric Young has suffered increased symptoms of multiple sclerosis and plaintiff Marlene Young has suffered increased pain due to her chronic back pain and requires increased visits to a chiropractor.</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defamatory statements ... the CRD Housing Corporation served the plaintiffs with an eviction notice on July 10,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15, 2003, the landlord was granted an order for possession of the plaintiffs' home and the plaintiffs lost possession on October 31, 2003.</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being evicted from subsidized public social housing, the plaintiffs have incurred and will incur increased housing costs in the future.</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incurring legal costs to defend their reputation and their home against the damaging effects of the defendants' defamatory statements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paragraph 10 of their reply, the plaintiffs plead that "... the words complained of in paras. 31 to 72, inclusive, of the statement of claim were known falsehoods published in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paragraph 59 of the statement of claim, the plaintiffs plead: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31, 2002, defendants Deborah and Luca Segato wrote to the CRD Housing Corporation and made among many false and defamatory statements, the following false and defamatory statements: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beginning of 2002, my husband and I noticed the potent odour of marihuana in our apartment on a regular basis. Upon recognizing the origin being from the Young apartment, directly below, we politely requested in person that they discontinue this habit. In spite of agreeing at that time to refrain, much to our discomfort, they continued to openly smoke marihuana. ... In conclusion, we feel that the Youngs have shown complete disregard for the general safety of all tenants with their continued use of illegal drugs and constant harassment.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have not pleaded that the words said to have been used by the defendants were used in a derogatory sense other than their ordinary meaning. It is doubtful that a statement that the odour of marihuana was coming from the plaintiffs' unit is capable of a defamatory meaning. However, no authority was cited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What is clear, however, is that the plaintiffs' allegations that these statements were false cannot be made out. That issue has conclusively been determined in previous proceedings. The neighbours were offended by second-hand marihuana smoke in their units, on their patios, and in the common hallway. The plaintiffs are estopped from pleading, or leading evidence to the contrary in this action. Their attempt to do so is frivolous, vexatious and an abuse of process. These pleas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Invasion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Under the heading "Invasion of Privacy" the plaintiffs plead:</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Barbara Lort took pictures of the plaintiffs in their home, including but not limited to, on March 8, 2002 at 5:30 p.m.</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25, 2002, Lloyd Duhaime, counsel for the plaintiffs at the time, spoke with defendant Barbara Lort when she stated that on the advice of the landlord and the police she had taken pictures of the plaintiffs in their home and that she refused to destroy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referred to above, the tort created by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is based upon a wilful violation of privacy without a claim of right. Accordingly, these two pleas do not disclose a reasonable claim. On the application of Rule 19(24)(a) they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Trespassing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Under this heading, the plaintiffs plead as follows:</w:t>
      </w:r>
      <w:r>
        <w:rPr>
          <w:rFonts w:ascii="arial" w:eastAsia="arial" w:hAnsi="arial" w:cs="arial"/>
          <w:sz w:val="20"/>
          <w:lang w:val="en-US" w:eastAsia="en-US" w:bidi="ar-SA"/>
        </w:rPr>
        <w:cr/>
      </w:r>
    </w:p>
    <w:p>
      <w:pPr>
        <w:numPr>
          <w:numId w:val="6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defendants Luca and Deborah Segato through unknown liquids and various objects, including but not limited to garbage, onto the plaintiffs' patio from their third floor balcony.</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31, 2002, defendant Luca Segato aggressively jumped over the plaintiffs' patio enclosure onto their patio, against the plaintiffs' permission, to retrieve plants that he had thrown from his third floor balcony which caused the plaintiffs to make a 9-1-1 emergency call.</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defendant Karen Mercy and her nephew, Shane, have thrown garbage onto the plaintiffs' patio, including regurgitated food, from their second floor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their reply, the plaintiffs allege: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trespass is actionable without proof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pleas in paragraphs 77 though 79 may describe a cause of action for trespass to land. If so, then the pleas are not subject to being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However, if an action would lead to no possible good, or if no reasonable person can reasonably expect to obtain relief, the action has been held to be vexatious. See </w:t>
      </w:r>
      <w:r>
        <w:rPr>
          <w:rFonts w:ascii="arial" w:eastAsia="arial" w:hAnsi="arial" w:cs="arial"/>
          <w:b/>
          <w:i/>
          <w:color w:val="000000"/>
          <w:sz w:val="20"/>
          <w:lang w:val="en-US" w:eastAsia="en-US" w:bidi="ar-SA"/>
        </w:rPr>
        <w:t>Law Society of Upper Canada v. Chavali</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(1998), 21 C.P.C. (4th) 20</w:t>
        </w:r>
      </w:hyperlink>
      <w:r>
        <w:rPr>
          <w:rFonts w:ascii="arial" w:eastAsia="arial" w:hAnsi="arial" w:cs="arial"/>
          <w:color w:val="000000"/>
          <w:sz w:val="20"/>
          <w:lang w:val="en-US" w:eastAsia="en-US" w:bidi="ar-SA"/>
        </w:rPr>
        <w:t xml:space="preserve"> (Ont. Gen. Div.), affirmed </w:t>
      </w:r>
      <w:hyperlink r:id="rId1096" w:history="1">
        <w:r>
          <w:rPr>
            <w:rFonts w:ascii="arial" w:eastAsia="arial" w:hAnsi="arial" w:cs="arial"/>
            <w:i/>
            <w:color w:val="0077CC"/>
            <w:sz w:val="20"/>
            <w:u w:val="single"/>
            <w:shd w:val="clear" w:color="auto" w:fill="FFFFFF"/>
            <w:lang w:val="en-US" w:eastAsia="en-US" w:bidi="ar-SA"/>
          </w:rPr>
          <w:t>(1998), 31 C.P.C. (4th) 221</w:t>
        </w:r>
      </w:hyperlink>
      <w:r>
        <w:rPr>
          <w:rFonts w:ascii="arial" w:eastAsia="arial" w:hAnsi="arial" w:cs="arial"/>
          <w:color w:val="000000"/>
          <w:sz w:val="20"/>
          <w:lang w:val="en-US" w:eastAsia="en-US" w:bidi="ar-SA"/>
        </w:rPr>
        <w:t xml:space="preserve"> (Ont. C.A.), citing, </w:t>
      </w:r>
      <w:r>
        <w:rPr>
          <w:rFonts w:ascii="arial" w:eastAsia="arial" w:hAnsi="arial" w:cs="arial"/>
          <w:b/>
          <w:i/>
          <w:color w:val="000000"/>
          <w:sz w:val="20"/>
          <w:lang w:val="en-US" w:eastAsia="en-US" w:bidi="ar-SA"/>
        </w:rPr>
        <w:t>Re Lang Michener et al v. Fabian et al</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(Ont.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Law Society of Upper Canada</w:t>
      </w:r>
      <w:r>
        <w:rPr>
          <w:rFonts w:ascii="arial" w:eastAsia="arial" w:hAnsi="arial" w:cs="arial"/>
          <w:color w:val="000000"/>
          <w:sz w:val="20"/>
          <w:lang w:val="en-US" w:eastAsia="en-US" w:bidi="ar-SA"/>
        </w:rPr>
        <w:t>, the court considered the meaning of vexatious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adjective "vexatious" is defined by the Concise Oxford Dictionary, 9th ed. (Oxford: Clarendon Press, 1995) as: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as to cause vexation.</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Law: not having sufficient grounds for action and seeking only to annoy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"vex" is defined as "to anger by a slight or a petty annoyance, irritate".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Lang Michener</w:t>
      </w:r>
      <w:r>
        <w:rPr>
          <w:rFonts w:ascii="arial" w:eastAsia="arial" w:hAnsi="arial" w:cs="arial"/>
          <w:color w:val="000000"/>
          <w:sz w:val="20"/>
          <w:lang w:val="en-US" w:eastAsia="en-US" w:bidi="ar-SA"/>
        </w:rPr>
        <w:t>, the court went on to say:</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Applying those principles, the claim for damages for trespass to land is vexatious and the pleas are struck out pursuant to 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defendants also contend that if there is a cause of action for trespass to land, any award would be, at best, nominal. This is a trifling claim which this court ought not to entertain. They rely upon the doctrine of </w:t>
      </w:r>
      <w:r>
        <w:rPr>
          <w:rFonts w:ascii="arial" w:eastAsia="arial" w:hAnsi="arial" w:cs="arial"/>
          <w:i/>
          <w:color w:val="000000"/>
          <w:sz w:val="20"/>
          <w:lang w:val="en-US" w:eastAsia="en-US" w:bidi="ar-SA"/>
        </w:rPr>
        <w:t>de minimis non curat lex</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same argument could be equally applied to the complaint made by the plaintiffs that the defendants Segato defamed Ms. Young when they alleged that "the Youngs smoke pot" when there is no evidence that Ms. Young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Equally, this contention is frivolous, that is to say, "of little or no weight or importance; paltry, trumpery; not worth serious attention" as that notion is defined in the </w:t>
      </w:r>
      <w:r>
        <w:rPr>
          <w:rFonts w:ascii="arial" w:eastAsia="arial" w:hAnsi="arial" w:cs="arial"/>
          <w:i/>
          <w:color w:val="000000"/>
          <w:sz w:val="20"/>
          <w:lang w:val="en-US" w:eastAsia="en-US" w:bidi="ar-SA"/>
        </w:rPr>
        <w:t>Oxford Universal Dictionary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short, those pleas are frivolous and vexatious. They are also inconsistent with the object of the Rules, "to secure the just, speedy and </w:t>
      </w:r>
      <w:r>
        <w:rPr>
          <w:rFonts w:ascii="arial" w:eastAsia="arial" w:hAnsi="arial" w:cs="arial"/>
          <w:color w:val="000000"/>
          <w:sz w:val="20"/>
          <w:u w:val="single"/>
          <w:lang w:val="en-US" w:eastAsia="en-US" w:bidi="ar-SA"/>
        </w:rPr>
        <w:t>inexpensive</w:t>
      </w:r>
      <w:r>
        <w:rPr>
          <w:rFonts w:ascii="arial" w:eastAsia="arial" w:hAnsi="arial" w:cs="arial"/>
          <w:color w:val="000000"/>
          <w:sz w:val="20"/>
          <w:lang w:val="en-US" w:eastAsia="en-US" w:bidi="ar-SA"/>
        </w:rPr>
        <w:t xml:space="preserve"> determination of every proceeding on its merits." (my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this ground as well, paragraphs 75 through 79 in the statement of claim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Reply to Defendants'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their reply to the defendants' amended statement of defence, the plaintiffs plead, among other things, that the notice to end a residential tenancy was fraudulent; that false evidence was submitted to the arbitration hearing, and the award of 29 August 2002 was obtained by fraud; that the decision in </w:t>
      </w:r>
      <w:r>
        <w:rPr>
          <w:rFonts w:ascii="arial" w:eastAsia="arial" w:hAnsi="arial" w:cs="arial"/>
          <w:b/>
          <w:i/>
          <w:color w:val="000000"/>
          <w:sz w:val="20"/>
          <w:lang w:val="en-US" w:eastAsia="en-US" w:bidi="ar-SA"/>
        </w:rPr>
        <w:t>Young v. Saanich Police</w:t>
      </w:r>
      <w:r>
        <w:rPr>
          <w:rFonts w:ascii="arial" w:eastAsia="arial" w:hAnsi="arial" w:cs="arial"/>
          <w:color w:val="000000"/>
          <w:sz w:val="20"/>
          <w:lang w:val="en-US" w:eastAsia="en-US" w:bidi="ar-SA"/>
        </w:rPr>
        <w:t xml:space="preserve"> "was obtained in fraud, as false evidence was submitted at the hearing, and was tainted by the fraud perpetrated at the arbitration hearing"; the appeal proceedings were tainted by the fraud perpetrated at the arbitration hearing and at the hearing of the petition; and,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issue estoppel "are inapplicable when a party was not a party to earlier proceedings, when the earlier proceedings are tainted by fraud, or when there is new, previously unavailable,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Those pleas are not compliant with Rule 19(1) of the Rules of Court which prescribes that a pleading "must contain a statement in summary form of the material facts on which the party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Accordingly, paragraphs 1, 2, 3, 4, 5, 13, 14, 15 and 16 of the reply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plain and obvious that both of these actions are bound to fail. They are both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in both actions seek an order for costs, to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say that the plaintiffs, "not content with having disrupted [the defendants'] quality of life by the persistent smoking of marihuana, now wish to continue disturbing them by making baseless and pointless allegations in this litigation". The defendants contend that the plaintiffs' conduct in maintaining this protracted litigation is reprehensible and worthy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an earlier proceeding, the Court of Appeal awarded special costs to the defendant Borzoni: see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March 2005, Mr. Borzoni made application for an order that the plaintiffs' claims against him in Action No. 04-2367, be dismissed. That application, as well, was carried pursuant to Rule 19(24)(a), (b) and (d). The order was made dismissing the claims against Mr. Borzoni on 10 March 2005. Mr. and Ms. Young appealed that decision to the British Columbia Court of Appeal. The appeal was dismissed. This is what the court said about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Mr. Freeman asked for special costs if this appeal is dismissed. I am of the opinion that his client is clearly so entitled. While the appellants' frivolous and vexatious litigiousness may not amount to "scandalous or outrageous" conduct, it is certainly "reprehensible," being "misconduct deserving of reproof or rebuke."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(1994), 45 B.C.A.C. 222</w:t>
        </w:r>
      </w:hyperlink>
      <w:r>
        <w:rPr>
          <w:rFonts w:ascii="arial" w:eastAsia="arial" w:hAnsi="arial" w:cs="arial"/>
          <w:color w:val="000000"/>
          <w:sz w:val="20"/>
          <w:lang w:val="en-US" w:eastAsia="en-US" w:bidi="ar-SA"/>
        </w:rPr>
        <w:t xml:space="preserve"> at paragraph 17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Those words were written 23 January 2007. On 30 May 2005, these plaintiffs filed a reply in Action No. 04-0304 alleging fraud and the presentation of false evidence. Those allegations appear, from Mr. Young's submissions, to be based solely upon an undisclosed, unexplained opinion of a handwriting analyst. If that conduct does not bring the plaintiffs into the "scandalous" or "outrageous" conduct category, it certainly is close. In any event, it is an exacerbation of the reprehensible conduct found by the Court of Appeal. In result, the defendants will have their costs in each action, to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8"/>
          <w:headerReference w:type="default" r:id="rId1099"/>
          <w:footerReference w:type="even" r:id="rId1100"/>
          <w:footerReference w:type="default" r:id="rId1101"/>
          <w:headerReference w:type="first" r:id="rId1102"/>
          <w:footerReference w:type="first" r:id="rId11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4" w:history="1">
        <w:r>
          <w:rPr>
            <w:rFonts w:ascii="arial" w:eastAsia="arial" w:hAnsi="arial" w:cs="arial"/>
            <w:b/>
            <w:bCs/>
            <w:i/>
            <w:color w:val="0077CC"/>
            <w:kern w:val="32"/>
            <w:sz w:val="28"/>
            <w:szCs w:val="32"/>
            <w:u w:val="single"/>
            <w:shd w:val="clear" w:color="auto" w:fill="FFFFFF"/>
            <w:lang w:val="en-US" w:eastAsia="en-US" w:bidi="ar-SA"/>
          </w:rPr>
          <w:t>Zoic Studios BC Inc. v. Gannon, [2012] B.C.J. No. 1883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6-10, 13-17 and March 26-30,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S104957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1883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Zoic Studios BC Inc., Plaintiff, and Patti Gannon, Trevor Adams and Leviathan Studios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3"/>
      <w:bookmarkEnd w:id="292"/>
      <w:r>
        <w:rPr>
          <w:rFonts w:ascii="arial" w:eastAsia="arial" w:hAnsi="arial" w:cs="arial"/>
          <w:b/>
          <w:color w:val="000000"/>
          <w:sz w:val="20"/>
          <w:lang w:val="en-US" w:eastAsia="en-US" w:bidi="ar-SA"/>
        </w:rPr>
        <w:t>Damages — For torts — Interference with contractual relations — Action by studio seeking damages from former employees for breaches of duty allowed — Head of B.C. branch of studio not fiduciary, but breached duties to studio by using confidential information to obtain contract from studio's client for new company set up with other defendant — Employees failed to inform studio key employees intended to leave, resulting in studio losing contract to new company — Damages for lost contract to work on television show reduced by 95 per cent because studio unlikely to have retained key employees and contract in any event.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Discount rate — Action by studio seeking damages from former employees for breaches of duty allowed — Head of B.C. branch of studio not fiduciary, but breached duties to studio by using confidential information to obtain contract from studio's client for new company set up with other defendant — Employees failed to inform studio key employees intended to leave, resulting in studio losing contract to new company — Damages for lost contract to work on television show reduced by 95 per cent because studio unlikely to have retained key employees and contract in any event.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Implied duties of employee — Confidential information and privacy — Fiduciary duties — Honesty — Loyalty and non-competition — Action by studio seeking damages from former employees for breaches of duty allowed — Head of B.C. branch of studio not fiduciary, but breached duties to studio by using confidential information to obtain contract from studio's client for new company set up with other defendant — Employees failed to inform studio key employees intended to leave, resulting in studio losing contract to new company — Damages for lost contract to work on television show reduced by 95 per cent because studio unlikely to have retained key employees and contract in any event.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42"/>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Zoic seeking damages from Gannon, Adams and their company Leviathan for breaches of fiduciary duty, fidelity, good faith, loyalty and confidentiality and unjust enrichment. Zoic was a visual effects studio set up in B.C. by its L.A.-based parent company. Gannon was one of two employees of the L.A. company chosen to relocate to B.C. to set up Zoic. She became the head of Zoic B.C. when the other key employee left. Zoic obtained a contract to provide Visual effects for a television show called Eureka. Gore, a contractor with Zoic, was the visual effects producer for the show. Gore lobbied Eureka to continue using Zoic for visual effects after a rocky first season. The second season went more smoothly. For the third season, Gore outsourced work from Zoic to Lux, a company run by Little. Eureka was pleased with the work of Gore and Little. Gore expressed frustration about the management of Zoic and its parent company. Adams started working for Zoic during the third season. He and Gannon ultimately set up a separate company, Leviathan. Gore decided to work for Leviathan and the Eureka contract followed him there. Little went to work for Leviathan as well. Gannon never indicated to the L.A. parent company that there was a possibility Gore would leave Zoic. When she left, Gannon took some Zoic documents, including its invoices and pricing information. She denied these were confidential, asserting they were industry standard. Adams used Zoic computers to develop visual effects he used on the fourth season of Eureka.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6"/>
            <w:bookmarkEnd w:id="29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Zoic was entitled to equitable compensation for Gannon's breach of confidence as well as damages for loss of opportunity in the amount it would have profited had it received the Eureka season four contract, reduced by 95 per cent to reflect the fact it was not likely to have been awarded the contract in any event. Gannon's position with Zoic did not rise to the level of a fiduciary. She still answered to management of the L.A. parent company in relation to major decisions including hiring, major purchases, facilities leasing and signing contracts. Gannon lacked the ability to affect the economic interests of Zoic. Her role with clients was not so important that it left Zoic in a vulnerable position. Gannon clearly breached her duty of fidelity, good faith and loyalty to Zoic by setting up a competing business while she was still employed by Zoic. Adams actually competed with Zoic while employed there, by using company equipment to create a model he used to obtain the eureka contract for Leviathan. Regardless of whether or not there was any chance of Zoic getting the contract for Eureka renewed, Gannon and Adams still competed with Zoic to obtain the contract. Gannon did not induce Zoic employees to leave the company. Gannon took confidential Zoic information, including its unique pricing for services, and used it on behalf of Leviathan to facilitate its working relationship with Eureka. Although Zoic would likely have lost the contract to work on Eureka regardless of what Gannon and Adams did, there was a possibility it could have retained the contract had it known Gore planned not to return to Zoic for season four of Eureka. There was only a small chance Zoic could have persuaded Gore to return to work for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Counsel_43"/>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D.A. Crawford, H.M.G.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M.E. Fancourt-Smith, M.A. De Vera.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3"/>
      <w:bookmarkEnd w:id="296"/>
      <w:r>
        <w:pict>
          <v:line id="_x0000_s1253"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and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Gannon's Role at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Duty of Fidelity, Good Faith and Loyalty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Gannon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Gannon through Mr.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Failing to Disclose Information and Failing to Retain Employees and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Soliciting Employees to Work for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Confidentiality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Bid Template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VFX Tech Memo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Actuals Template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Naming Convention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Deal Memo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for the Breach of the Duty of Fidelity, Good Faith and Loyalty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Conversion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7" w:name="L.D. RUSSELL J."/>
            <w:bookmarkEnd w:id="297"/>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Zoic Studios BC Inc., brings suit against the defendants for breach of fiduciary duty; breach of the duty of fidelity, good faith and loyalty; breach of confidence; conversion; unjust enrichment and conspiracy. Zoic Studios BC Inc. also claims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took 15 days and the Court heard from a number of witnesses. Many of the facts are in dispute. I will provide a basic outline of the evidence below and will give more details as necessary throughout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Zoic Studios BC Inc. (Zoic BC), is a computer visual effects studio which specializes in feature films, television shows, commercials, video games, advertising and online content. Zoic BC is a wholly owned subsidiary of Zoic Inc. (Zoic LA), a mid-sized Los Angeles based studio founded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Zoic LA was founded by Tim McBride, Loni Peristere, Chris Jones and Andrew Orloff, all of whom hold roles within the company in addition to being shareholders. There are also three minority silent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Zoic BC and Zoic LA have provided visual effects for a number of television shows and feature films well known to the public, including the following: CSI Las Vegas, CSI Miami, Battlestar Galactica, Mad Men, Eureka, Fringe, Once Upon a Time, Pan Am, Spiderman, The Day After Tomorrow, District 9 and Get Smart.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Zoic BC, based out of Vancouver, commenced business 2006. According to the CFO, COO and shareholder of Zoic LA, Tim McBride, Vancouver was an attractive base of operations for Zoic LA's clients who wished to reduce costs through BC's provincial tax credits. Vancouver is also convenient; it is in the same time zone as Hollywood and is only a three hour flight from LA. As clients and artists were doing business in Vancouver, Zoic LA wanted to take advantage of the market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Zoic BC was first being planned in 2005, Zoic LA chose willing employees to relocate to Vancouver to set up the office. Two "senior employees" were chosen: the defendant, Patti Gannon, and another employee, Randy Goux. Mr. Goux was one of Zoic LA's "3D leads", which I understand to mean that he was one of the lead artists in the LA office with respect to three-dimensional, or computer, graphics. A 3D lead is also known as a CG lead. Ms. Gannon was a "2D lead", or one of the lead two-dimensional artists.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of 2005, Ms. Gannon began working for Zoic BC in Vancouver. Ms. Gannon and Mr. Goux were tasked with setting up Zoic BC, including hiring artists, conversing with clients and managing the visual effects process, as well as finding, outfitting and decorating the studio. Once the Zoic BC office was running, Ms. Gannon and Mr. Goux were co-managers in charge of overseeing the daily workings of the business and keeping up office morale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2008, Mr. Goux was let go from the Zoic BC office by decision of Zoic LA. This left Ms. Gannon as the "top employee" of Zoic BC. Originally, Mr. Goux and Ms. Gannon were labelled creative directors of the Zoic BC office. According to Zoic LA, shortly after Mr. Goux's departure, Ms. Gannon was "elevated" to executive creative director. She also held the role of visual effects supervisor of the Zoic BC office. Ms. Gannon reported directly to Zoic LA, specifically to Tim McBride and Chris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2005, prior to Zoic BC being fully operational, the Zoic studios were hired by GEP Productions to do the visual effects for a television show known as Eureka. Both offices worked on the pilot. Based on the pilot, the show was "picked up" for a full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Zoic BC became the main provider of visual effects for seasons 1 through 3 of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Eureka is a science fiction series based out of the fictional town of Eureka, Oregon. The town is comprised of geniuses and scientists who are employed by a company called Global Dynamics to work on inventions. In each episode some mishap involving the inventions takes place and the town's sheriff is required to solve the case and keep the inventions from becoming publically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visual effects producer on Eureka was Matt Gore. Mr. Gore had previously worked as a freelancer for Zoic LA on Battlestar Galactica. When he first started working as visual effects producer on Eureka, Mr. Gore also had a freelance agreement, as opposed to an employment contract, with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my understanding that the role of a visual effects producer is to ensure that the visual effects supervisor remains focused and on budget. It also involves assisting with the day-to-day visual effects operation. Mr. Gore testified that he took a more active role than a producer traditionally would, often stepping into the role of, or assisting the current visual effects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season of Eureka did not run smoothly. Mr. Gore was working as producer, as well as assisting as (and sometimes acting as), the visual effects supervisor. He was also working on the first season of the television show Blade. The visual effects side of Eureka was understaffed.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GEP Productions expressed displeasure regarding the issues with Eureka. Mr. Gore testified that GEP believed they were "not getting enough bang for their buck." One of the show's creators and directors, Jaime Paglia, testified that the first season of Eureka was a "challenge" as far as visual effects issues. He acknowledged, though, that "we were all trying to find the show." He states that "we had overall some great, great moments" and "we got some ... really great work out of the company [Zoic BC]." By contrast, he also notes that "there were a few [moments] that fell short" and "there were a few times that shots just didn't end up getting to where you would like them to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Paglia testified that Mr. Gore "lobbied hard for Zoic to continue being our ... visual effects house for Season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Zoic BC was awarded the second season of Eureka, however, Zoic LA recognized the difficulties from season 1 and the visual effects structure was improved. Two set supervisors (senior artists, Brett Keyes and Kevin Little) were appointed from Zoic BC to assist Mr. Gore. According to Mr. Gore, the new structure was his idea, but his request for it was initially rejected by Zoic LA. He expressed feeling frustrated about this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Season 2 apparently ran much more smoothly, but required Mr. Gore to relocate to Vancouver during production for the entirety of the season. The original agreement was that Mr. Gore would be able to return to LA, his place of residence, after episode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Evidence was led by the plaintiffs that during seasons 1 and 2, Mr. Gore and Ms. Gannon did not have a positive working relationship. Kristen Branan, head of production for Zoic LA, testified that often one or the other would telephone her or others in the LA office to express their frustration about working with the other. A decision was made to move Mr. Gore into Ms. Gannon's office to have them work more closely together and improve their relationship. By all Zoic LA accounts, it was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Gore's evidence was not consistent with the above. He states that Ms. Gannon is one "tough cookie", and while they did not always "see eye-to-eye", they respected each other. Ms. Gannon's evidence was consistent with Mr. Gore's. She says occasionally they "tangled about things" but that they "respected each other" and the other's "passion"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Once season 2 was complete, Zoic BC bid to be Eureka's season 3 visual effects house. Once more, this required discussions between Zoic LA and Mr. Gore regarding how season 3 would be run by Zoic BC should it receive the contract. Mr. Gore attributed some of the success in season 2 to having an in-house CG lead (3D Lead) at Zoic BC. During season 2, that lead was Adam DeBousch-Kemper. Mr. Gore requested a new CG lead from Zoic LA for season 3 as Mr. DeBousch-Kemper had left to do other work with Mr. Keyes, one of the set supervisors. Mr. McBride agreed to hire a 3D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Mr. Gore, a 3D lead was not hired by the time season 3 started causing problems with completion of the necessary work. Mr. Gore outsourced the work to Lux Studios. Lux is partially owned by Kevin Little, who had also previously been a set supervisor on Eureka but had left to focus on his own studio. In fact, Lux did 25% of the work on the first show of season 3 (about $90,000 worth of work for a $356,000 episode). The first episode had an important, visual effects heavy character named Martha. It was Mr. Little who composed Martha.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Initially, the outsourcing caused some conflict with Zoic LA Management, who, according to Mr. Gore, questioned his heavy use of Lux for the season 3 episode 1. However, due to an artist shortfall, Mr. Gore arranged for Lux to work on 25 to 35% of the visual effects for the rest of the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each season, Mr. Gore negotiated a new contract with Zoic LA. During some of these negotiations, Mr. Gore advised Mr. McBride that he had been asked by GEP to break up the visual effects for Eureka amongst smaller studios. Mr. Gore told Mr. McBride that he argued in favour of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McBride admits that Mr. Gore mentioned this to him. He was of the view, however, that Mr. Gore only mentioned such ideas when he was negotiating for more compensation. He believed that Mr. Gore was using it as a way to "toot his horn" and gain a negotiating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McBride testified that for season 2, Mr. Gore began to be paid by payroll and have his taxes deducted by Zoic LA. He, effectively, became an employee rather than an independent contractor of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McBride admitted that they paid "Matt different than anybody else" as he was a "very valuable employee." For season 3, Mr. Gore received an apartment in Vancouver and parking, as well as a travel allowance for himself and his fiancée.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Gore testified that he expressed frustration during negotiations for his salary in season 3 with the procedures for budgeting followed by Zoic LA and Zoic BC. He wanted more freedom to budget and "change rates" without having to discuss it first with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previously, GEP returned to Zoic BC for visual effects for season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One particular incident during season 3 seems to have caused a strain in Mr. Gore's relationship with Zoic LA. Mr. Gore was in a teleconference with GEP Productions regarding some budget concerns. According to him, Mr. Gore remained on the phone instead of going outside to re-plug his parking meter. He received parking tickets totalling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approached Zoic LA for reimbursement as he viewed it as "the cost of doing business." Zoic LA management refused to pay for the tickets. Mr. Gore wrote an email on July 30, 2008, to Zoic LA expressing his frustration over their refusal to pay the tickets. He advised Zoic LA once again that he had "been asked to pull this show away from Zoic for 2 years running and ... [had] fought to keep it in house."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two shows I got these parking tickets on had budgets of $150,000 and $193,000 respectively. This petty ante stuff [Zoic LA refusing to pay the tickets] breeds nothing but resentment and I almost want to pull the show over something as stupid as this to make a point. It's aggravating. I work really hard on this show, give up months of my life to turn a profit for this company - when I could be paying myself more - and have worked every weekend to compensate for the fact that we don't have a cg supervisor in house which was also one of the things Tim agreed to five months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to sound like an ass. It just really pisses me off. Tim should concentrate on what he and I discussed and what has not been delivered before he fixates on $80.00.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McBride eventually agreed to pay the parking tickets He observed in his evidence, though, that Mr. Gore could be "dramatic or mercurial."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Trevor Adams, was hired by Zoic BC in October of 2008 as a digital artist. He worked on several projects, but was not a major contributor to Eureka season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Adams testified as to his work history. After three years working on the oil rigs in Alberta, where he is from, he had saved enough money to attend Emily Carr. Before he had completed his Film and Animation program there he was offered, and accepted, a position with Lost Boys Studios.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Adams moved studios a number of times over the next several years. After a year and a half at Lost Boys, he worked on the television show Andromeda. He then went to Atmosphere Studios and worked on Battlestar Galactica. He won an Emmy and some Visual Effects Society awards for his work. After Atmosphere, he went to Artifex Studios and then to Zoic BC in late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Adams states that moving around is common for artists. He believes they move to projects that interest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fall of 2009, Mr. Adams and Ms. Gannon began to discuss starting their own visual effects studio and doing freelance work. Around that time they purchased an RED camera which would allow them to shoot some of their "own projects." They also set up Gmail accounts with their business name,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Adams and Ms. Gannon had an email exchange on October 25, 2009, regarding the actions required to commence setting up Leviathan Studios. Mr. Adams had not filed his taxes in a few years. He advised Ms. Gannon he had set aside the receipts for the "tax stuff." I infer from this that Ms. Gannon was going to help him bring his filings up to date. Mr. Adams also provided an "asset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Gannon responded with reassurances that Mr. Adams's financial well being was important. She stated "Leviathan has your back if anything bad happens." She also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attached back to you a document that Matt sent me. It's a discussion between Matt and Steve Welke about the entire Eureka process. This exchange happened mid-September .... before you and I started discussing things with Matt, so that's why Zoic is mentioned. It's verrrrrry long, but might give you some good insight if you want to scan through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We're going to make this work, hopefully with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would be helpful to note at this point, that Eureka season 3 had been divided into two parts: season 3 and season 3.5. The result of this was that season 3.5 did not wrap up until June of 2009. At the time these emails were being written, season 4 production had not started. The show was still on break after the lengthy season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Mr. Adams and Ms. Gannon were asked about this email when they testified. Mr. Adams states that Mr. Gore was looking to do something different with Eureka and wanted to take it outside Zoic BC. He said nothing official had been discussed regarding Leviathan working for Eureka, but Mr. Gore had "expressed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Gannon agrees that there were no official plans for Leviathan, despite Eureka being mentioned in the email. She testified that Mr. Gore had mentioned the possibility of Mr. Adams and her "staying involved with Eureka", however, they (Ms. Gannon and Mr. Adams) had a lot of ideas "not relating to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Adams left Zoic BC in late January of 2010. On January 28, 2010, Ms. Gannon sent an email to the employees in the BC office, as well as Tim McBride and others at Zoic LA, advising them of Mr. Adams' departure. She stated "Trevor Adams, CG artist, received an offer and funding to work on a personal project, long term from home, which he couldn't turn down." In order to "conserve payroll", Ms. Gannon decided that Mr. Adams should be released immediately. The parting, she advised the recipients, was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Adams testified that when he left Zoic BC he did not know whether Leviathan was going to get a contract for season 4 of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Adams signed a work-for-hire contract with GEP Productions on February 17, 2010, for Leviathan Studios to provide some of the visual effects for season 4 of Eureka. At that time, Ms. Gannon was still employed by Zoic BC. Leviathan Studios had not yet been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Adams testified that he understood that Leviathan would be splitting the visual effects 50/50 with Lux Studios. Ms. Gannon testified that she was not sure how much work Leviathan would receive from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Leviathan Studios was officially incorporated on February 22, 2010. Both Ms. Gannon and Mr. Adams were listed as shareholders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day, Mr. Gore sent an email to a number of people at Zoic BC and Zoic LA, including Mr. McBride, Mr. Jones, Mr. Peristere, Mr. Orloff and Ms. Gannon, amongst others. The email is lengthy, but the essence is that Eureka would not be returning to Zoic BC for season 4. Mr. Gore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recently had an extended conversation with the new regime [at GEP Productions] about Season 4 and have been given the opportunity to set up the visual effects for Eureka the way I have always wanted to set up a department on a show this size. After turning this opportunity down for several years, I have decided that this is the year for me to take them up on their offer, and work more closely with production. That said, I, and Eureka, will not be returning to Zoic this season.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Chris [Jones] and Tim [McBride] are well aware I have been asked for 3 seasons to break up the show and bring it to different vendors. And for 3 seasons I have protected the interests of the company, even during the times when points we discussed before a season took months to come to fruition. I would like to spend one season in Vancouver where I hire a talented group of my friends and then only have to make the executive producers and myself happy. No one else. No politics. No discussions about shotgun or actuals. No asking permission from the home office to do anything.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being completely honest when I say most of the stress of my job these past few years has been when I have to defend Zoic's budgeting practices in meetings, or have to talk to anyone about actuals, or have to listen to friends who come up to me about being unhappy with something that has to do with LA, the company, or company policy. ... I truly only care about expending all my energy, and all my team's energy, on making cool shots, and I'm extremely fortunate to be in a position to do that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want to go back to creating visual effects, rather than sitting in a production meeting or a post production spotting session and declaring every time someone wants to add a shot that "we have no money" or "we can't afford to do it," or that I need to discuss it with the people above me to try and get the budget numbers to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I've been presented with an opportunity where I don't have to concern myself with any of the politics anymore and it's too good an opportunity to pass up.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pilot the executives have treated me as the Department Head for visual effects. I want to now set up my department like a real Department Head in a way similar to how we ran The Outer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know, and Gina [Fiore] was at the meeting in BC to confirm this, that I secured Eureka being with Zoic 2-3 years longer than it would have been here if I wasn't attached to the project. So I don't feel bad or have regrets about my decision to approach the visual effects differently this year.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McBride testified he was in "shock" when he received this email. Zoic LA had no idea that Eureka would not return to Zoic BC for season 4. Mr. McBride believed, after reading the email, that Mr. Gore was indicating he would be working in-house for GEP Productions. This would allow him to be a "real department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McBride responded to the email on February 26, 2010. He received another lengthy response from Mr. Gore that same day. Mr. Gore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risk of sounding harsh, I'll try to be more honest with you than I was with my email, so you can get more of the bigger picture as to why this is happening.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Zoic Brand in BC is hurting, dude. You are not the company you guys started when I brought Twilight Zone to you. ... By your employees you are viewed as a corporation, and not the cool, artist driven place you were at the beginning. ... the majority of the people who work for you they think the bottom line is the only thing that's important to LA, and if you don't like it, too bad you bad bastard stepchild in Vancouver, that's just the way it is. I've heard the bastard step child comment time and time again in BC and not just from people who have worked on Eureka.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know my personality - I do not enjoy working in an environment like that, it runs contrary to how I treat artists and friends and as I said in my email I don't want to spend another year defending things like budgets or corporate decisions when I know I can put more up on screen if I'm responsible only to me and the artists. ... The truth is I can crew up a better team than Zoic can this season. I probably could have done it last year when we ran into the cg lead issue, but I already had committed to making it work again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is a business decision, no different than the ones you make.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didn't discuss it with Zoic because what could Zoic offer that I already don't have now? You would have immediately locked the project down the second I opened my mouth and the conversation would take a nose dive from there with Zoic trying to figure out how to circumvent the relationships I have dedicated years of my life to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not lying to you when I said I lost 50% of my loyalty to the company during that parking ticket fiasco.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wait half a season to get the key personnel in place. That happened last year and the work and my reputation suffered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McBride testified that his impression was, and is, that the issues with Zoic were all Mr. Gore's, not GEP's. Mr. Gore was unhappy, wanted more money, etc. He believed that, once again, Mr. Gore was being dramatic and inflating his issues with Zoic LA in order to justify his decision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March 1, 2010, Ms. Gannon telephoned Mr. McBride to advise him she was resigning. According to Mr. McBride, she stated her reason for leaving was that she was "tired and burnt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March 4, 2010, Ms. Gannon requested that that be her last day. Reluctantly, Mr. McBride agreed after being advised by Ms. Branan that Ms. Gannon was burnt out and not doing the company any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Zoic BC threw Ms. Gannon a going away party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March 11, 2010, Zoic BC learned of the existence of Leviathan Studios through a rumour that Leviathan, through Mr. Adams and Ms. Gannon, was hiring artists to work on Eureka. Mr. Peristere and Ms. Branan were in Vancouver to determine how best to transition Zoic BC from Ms. Gannon to a replacement. As a result of the rumour, Mr. Peristere befriended Mr. Adams on Facebook. Mr. Adams had a posting about Leviathan on his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Branan telephoned Ms. Gannon to ask her about it. According to Ms. Branan, Ms. Gannon claimed the rumour was a lie, she did not know what Leviathan was and she was "not working on Eureka." She terminated the conversation when she said she had to go as her mother was on the other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Gannon testified that Ms. Branan telephoned and asked her if she was doing what "Mike Leone had done." She states the conversation was short (about 30 seconds) and she had to go immediately to take a call from her mother. Apparently, the reference to Mr. Leone was to a previous Zoic LA employee who had taken the television show Bionic Woman, for which he was a visual effects supervisor, "from Zoic [LA]". (I assume this statement to mean that Mr. Leone took the show to another, or his own, visual effects studio). Ms. Gannon states that she did not understand the reference until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Gannon's evidence at her examination for discovery was that Ms. Branan did ask her whether she was working on Eureka season 4. She says she does not recall that now. In her direct examination at trial, she said Ms. Branan did not ask her about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McBride testified that at some point after the existence of Leviathan was discovered, another Zoic BC employee mentioned that some months previous Ms. Gannon asked him to unarchive everything that had to do with Eureka from the Zoic BC server. This is a contentious issue, which I will discuss in more detail later on. However, the employee's recollection was enough to continue to raise Zoic LA's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Zoic LA made a company search and found Leviathan Studios Inc. with Ms. Gannon and Mr. Adams listed as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letter dated April 23, 2010, Zoic BC advised Ms. Gannon, Mr. Adams and Leviathan that they were bringing suit against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Gannon's Role at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Zoic BC claims that Ms. Gannon was a fiduciary given her position within it. It says Ms. Gannon had a fiduciary duty, which she breached. It is therefore, necessary to provide some background to the responsibilities and duties of Ms. Gannon in order to establish a context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Gannon is originally from California. She has been a visual effects supervisor for over 15 years. Prior to working for Zoic LA and Zoic BC, she worked or freelanced for several studios, including 525 and Radium.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McBride testified that when Zoic BC was first being developed, Ms. Gannon and Mr. Goux were in charge of finding, furnishing and setting up the studio in Vancouver, as well as finding and hiring personnel. Thereafter, particularly after Mr. Goux was let go, Ms. Gannon was in charge of all the day-to-day operations of Zoic BC. This included personnel responsibilities such as hiring and dismissing employees, setting wages and monitoring employee morale. It also included oversight of all the daily activities of the artists, giving guidance on projects and ensuring that time lines were being strictly adhered to in a business where jobs are bid for on "tight budgets."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McBride says that Ms. Gannon ran the office without much oversight from Zoic LA. He testified that Ms. Gannon hired around 200 people in her time with Zoic BC while "rarely" consulting with Zoic LA on those hires. She had the "sole role of determination" regarding who would be asked to leave when there was not enough work to continue to employ all the artists, something I understand happened regularly in this cyclical industry. She also determined promotions, pay rates and raises.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 to Mr. McBride, on a day-to-day basis, Ms. Gannon determined which artists would work on which projects and provided feedback for work done. She had sole creative control and sometimes would have artists re-do work she believed was not up to standard before Zoic LA would even view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was also required to liaise with clients and ensure they were happy with the quality of work produced, a responsibility the importance of which Mr. McBride "could not emphasize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Branan also testified as to Ms. Gannon's role with clients. In her testimony, she said that Ms. Gannon was not only responsible for keeping Zoic BC's clients happy by communicating with them and ensuring the quality of work met their standard, she also "had her own clients in her role as visual effects supervisor." This would entail being the direct point of contact for those clients and, from what I understand, being more involved creatively by helping direct and lead the visual effects. According to Ms. Branan, Ms. Gannon was also involved in client sales. This was supported by Gina Fiore, executive producer of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2008, Ms. Branan drew up a job description for Ms. Gannon with input from Mr. McBride and Mr. Jones. The description outlined Ms. Gannon's responsibilities. In summary, these duties included the following: assist in key decision making with the LA management team; make decisions regarding bids and production work for Zoic BC; provide input in price structures and budgets for projects; recruit, hire and mentor artists; host clients; assist management with sales; supervise visual effects when necessary; work as a compositor when time permits and participate as a senior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Branan testified that this job description was provided to and reviewed with Ms. Gannon. She remembers the telephone conversation she and Mr. Jones had with Ms. Gannon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Gannon claims she was never provided with the description and does not recall any telephone conversation. There is no copy of the job description which bears her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McBride testified that he also drew up an Executive Creative Director Bonus Plan for Ms. Gannon in 2008. The plan was entered into evidence. It allows for a bonus of up to 15% of Ms. Gannon's salary if certain goals were met. The goals are outlined as follows:</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Meet/exceed budgeted revenues;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Meet/exceed budgeted hours for projects;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office so that: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 morale is high;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of work is high;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employees are retained, and low performers are redeployed;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LA/BC projects run smoothly, clients often unaware what office completes the work;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 office reputation and recognition improves in BC marketplace to employees, clients,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McBride testified that he met with Ms. Gannon in her office to discuss the bonus plan. Ms. Gannon denies ever seeing or discussing the plan and there is no signed copy of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McBride also testified as to Ms. Gannon's compensation. He states that she made $200,000 annually - much more than the $135,000 made by the next highest-paid employee in Zoic BC. She also received $20,000 bonuses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McBride gave evidence on the role of Zoic LA in overseeing Ms. Gannon. He says that Zoic LA would check in with her once a week or every couple of weeks through formal and informal meetings. Zoic LA would also have more comprehensive meetings regarding Zoic LA and Zoic BC and the future goals, plans and growth of the offices. These occurred approximately once a year to once every year and a half. Ms. Gannon would travel to LA for the meetings. Mr. McBride testified that Ms. Gannon's input at these meetings was "very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Gannon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acknowledges that she became the "top employee" of Zoic BC after Mr. Goux left. She disputes, however, that she held all of the responsibilities as outlined by the Zoic LA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Gannon recalls that she did look at studio space for Zoic BC when it was first being opened in Vancouver. She says she emailed pictures of a space she thought was suitable and a representative of Zoic LA came and viewed the studio. She did not sign the lease as she did not have the authority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Gannon agrees she interviewed potential artists to work for Zoic BC and purchased furniture from Ikea for which she had a spending limit. She did not purchase computer or technological items for the office. This too was out of her realm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regard to her duties after the studio was opened, particularly after Mr. Goux left, Ms. Gannon agrees that she oversaw the daily activities of Zoic BC. She would review shots and give artists feedback. She would also work on some of the shots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Gannon denies that she did all of the hiring for Zoic BC. She states that she hired project artists who worked on short term projects and did not receive benefits. Ms. Gannon admits that she did assist Patrick Mooney, a visual effects producer and administrator at Zoic BC, in determining these artists' hourly pay rates, although she says the rates had to fall within a range dictated by Zoic LA. As well, Mr. Mooney would still have to submit the rates to Zoic LA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Gannon says she never signed the deal memo (i.e. the employment agreement) on behalf of Zoic BC once an artist was hired. That was handled by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Gannon says she did not have the authority to hire producers or permanent staff artists for Zoic BC. She also had no authority to determine producers or staff artists' salaries.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regard to promotions and raises, Ms. Gannon testified that she did not have any true authority to grant either of these. She did complete the employee reviews and could recommend a raise to Zoic LA, but she did not make the determination herself. She had no authority to promote any employee to a management role. She could "promote" an artist from a "compositor role" to a more "lead" role. This did not include increased compensation. Nor did it include any additional reward other than "a pat on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Gannon claims that Mr. Mooney was the "production manager" of Zoic BC in charge of payroll, pay rates and assisting with the interview and hiring process. She says he assisted with scheduling artists on projects and handled those artists' pay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terms of budgeting, Ms. Gannon agrees she did prepare budgets and bids for clients. She did not have the authority, though, to change any of the rates. That authority rested with Tim McBride. Furthermore, Ms. Gannon could not bind Zoic BC to provide visual effects services for any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During her evidence, Ms. Gannon was taken through the 2008 job description drafted by Ms. Branan. I will discuss this evidence further later in this decision, however, in sum, Ms. Gannon did not agree that she had all of the responsibilities listed in that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support of her view that she was not as high up in management as Zoic BC argued she was, Ms. Gannon noted that there were management retreats for Zoic LA to which she was not invited.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Adams testified as to Ms. Gannon's role at Zoic BC. Mr. Adams states that in his view Mr. Mooney was more in charge of human resources matters and Ms. Gannon of supervising the artists. His interactions with her were mostly artistic related. He believed Ms. Gannon reported to Zoic LA and the more "formal" policies would come from the LA office, as opposed to Ms. Gannon.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are many issues that have arisen in this case. They are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Gannon a fiduciary?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she breach her fiduciary duty?</w:t>
      </w:r>
    </w:p>
    <w:p>
      <w:pPr>
        <w:numPr>
          <w:numId w:val="1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Mr. Adams assist in the breach?</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Gannon and Mr. Adams breach their duty of fidelity, good faith and loyalty?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Ms. Gannon's and Mr. Adams's breach of their duty of fidelity, good faith and loyalty cause the plaintiff's loss?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Ms. Gannon and Mr. Adams breached their duty of fidelity, good faith and loyalty, what is the appropriate remedy?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their duty of confidentiality?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Gannon and Mr. Adams convert the plaintiff's property or confidential and proprietary information?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Gannon and Mr. Adams conspire against the plaintiff?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Adams unjustly enriched by his use of Zoic BC equipment for non-Zoic projects while still employed by Zoic BC?</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be awarded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basic principles for determining whether a party is a fiduciary can be found in Wilson J.'s dissenting reasons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para. 60:</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Despite these factors being outlined in the dissent, they are now widely accepted: </w:t>
      </w:r>
      <w:r>
        <w:rPr>
          <w:rFonts w:ascii="arial" w:eastAsia="arial" w:hAnsi="arial" w:cs="arial"/>
          <w:i/>
          <w:color w:val="000000"/>
          <w:sz w:val="20"/>
          <w:lang w:val="en-US" w:eastAsia="en-US" w:bidi="ar-SA"/>
        </w:rPr>
        <w:t>Pan Pacific Recycling Inc. v. So</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Mr. Justice Sigurdson provided a summary of the principles to be applied when considering whether a party is a fiduciary at paras. 68-70: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In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La Forest J., while adopting the "rough and ready" guide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noted at para. 148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in this sense, then, that the existence of a fiduciary obligation can be said to be a question of fact to be determined by examining the specific facts and circumstances surrounding each relationship.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set out the following principles at 408-412: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a conceptual standpoint, the fiduciary duty may properly be understood as but one of a species of a more generalized duty by which the law seeks to protect vulnerable people in transactions with others.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concept of vulnerability is not the hallmark of a fiduciary relationship though it is an important indicium of its existence. Vulnerability is common to many relationships in which the law will intervene to protect one of the parties.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presence of loyalty, trust, and confidence distinguishes the fiduciary relationship from a relationship that simply gives rise to tortious liability.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relationships that have as their essence discretion, influence over interests, and an inherent vulnerability ... there is a rebuttable presumption, arising out of the inherent purpose of the relationship, that one party has a duty to act in the best interests of the other party.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are] situations in which fiduciary obligations, though not innate to a given relationship, arise as a matter of fact out of the specific circumstances of that particular relationship. ... In these cases, the question to ask is whether, given all the surrounding circumstances, one party could reasonably have expected that the other party would act in the former's best interests with respect to the subject matter at issue. Discretion, influence, vulnerability and trust ... [are] non-exhaustive examples of evidential factors to be considered in making this determination.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outside the established categories [of fiduciary relationships], what is required is evidence of a mutual understanding that one party has relinquished its own self-interest and agreed to act solely on behalf of the other party.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 generally, relationships characterized by a unilateral discretion, such as the trustee-beneficiary relationship, are properly understood as simply a species of a broader family of relationships that may be termed "power-dependency" relationships. ... [T]he concept of a "power-dependency" relationship ... accurately describes any situation where one party, by statute, agreement, a particular course of conduct, or by unilateral undertaking, gains a position of overriding power or influence over another party.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fiduciary duty in a given case will depend upon the reasonable expectations of the parties, and these in turn depend on factors such as trust, confidence, complexity of subject matter, and community or industry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their dissent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McLachlin J., as she then was, and Sopinka J. offered the following warning about applying too flexible a standard in determining whether a party owes a fiduciary duty. At para. 127, they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difficulty lies in determining what measure of confidence and trust are sufficient to give rise to a fiduciary obligation. An objective criterion must be found to identify this measure if the law is to permit people to conduct their affairs with some degree of certainty. ... The vast disparity between the remedies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 the usual remedies for ill-given advice - and those for breach of fiduciary obligation, impose a duty on the court to offer clear assistance to those concerned to stay in the former camp and not stray into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note that the Supreme Court of Canada added to the discussion of fiduciary relationships in the recent case of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At paras. 67-69, 83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An important focus of fiduciary law is the protection of one party against abuse of power by another in certain types of relationships or in particular circumstances. However, to assert that the protection of the vulnerable is the role of fiduciary law puts the matter too broadly. The law seeks to protect the vulnerable in many contexts and through many different doctrines. As La Forest J. noted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p. 406: "[W]hereas undue influence focuses on the sufficiency of consent and unconscionability looks at the reasonableness of a given transaction, </w:t>
      </w:r>
      <w:r>
        <w:rPr>
          <w:rFonts w:ascii="arial" w:eastAsia="arial" w:hAnsi="arial" w:cs="arial"/>
          <w:color w:val="000000"/>
          <w:sz w:val="20"/>
          <w:u w:val="single"/>
          <w:lang w:val="en-US" w:eastAsia="en-US" w:bidi="ar-SA"/>
        </w:rPr>
        <w:t>the fiduciary principle monitors the abuse of a loyalty reposed</w:t>
      </w:r>
      <w:r>
        <w:rPr>
          <w:rFonts w:ascii="arial" w:eastAsia="arial" w:hAnsi="arial" w:cs="arial"/>
          <w:color w:val="000000"/>
          <w:sz w:val="20"/>
          <w:lang w:val="en-US" w:eastAsia="en-US" w:bidi="ar-SA"/>
        </w:rPr>
        <w:t>" ... This brief sentence makes two important points which help sharpen the focus on the role of fiduciary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first is that fiduciary law is more concerned with the position of the parties that </w:t>
      </w:r>
      <w:r>
        <w:rPr>
          <w:rFonts w:ascii="arial" w:eastAsia="arial" w:hAnsi="arial" w:cs="arial"/>
          <w:i/>
          <w:color w:val="000000"/>
          <w:sz w:val="20"/>
          <w:lang w:val="en-US" w:eastAsia="en-US" w:bidi="ar-SA"/>
        </w:rPr>
        <w:t>results from</w:t>
      </w:r>
      <w:r>
        <w:rPr>
          <w:rFonts w:ascii="arial" w:eastAsia="arial" w:hAnsi="arial" w:cs="arial"/>
          <w:color w:val="000000"/>
          <w:sz w:val="20"/>
          <w:lang w:val="en-US" w:eastAsia="en-US" w:bidi="ar-SA"/>
        </w:rPr>
        <w:t xml:space="preserve"> the relationship which gives rise to the fiduciary duty than with the respective positions of the parties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they enter into the relationship.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The second is that a critical aspect of a fiduciary relationship is an undertaking of loyalty: the fiduciary undertakes to act in the interests of the 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fundamental to the existence of any fiduciary obligation that the fiduciary has a discretionary power to affect the other party's legal or practical interests.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Dickson J. spoke of this discretionary power as "the hallmark of any fiduciary relationship" (p. 387) and, while making no comment on whether it was broad enough to embrace all fiduciary obligations, he endorsed Professor Weinrib's description of a fiduciary relationship as one in which "the principal's interests can be affected by, and are therefore dependent on, the manner in which the fiduciary uses the discretion which has been delegated to him" (p. 384). The influential guidelines set out by Wilson J.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at p. 136, for identifying new categories of fiduciary relationships included that the fiduciary have scope for the exercise of some discretion or power, the exercise of which affects the beneficiary's legal or practical interests. In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McLachlin J. noted that a fiduciary must be entrusted with such power in order to perform his or her functions (p. 275).</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Cromwell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Categories of employees that owe a fiduciary duty to their employer have already been established by the courts: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at para. 71. The leading case is </w:t>
      </w:r>
      <w:r>
        <w:rPr>
          <w:rFonts w:ascii="arial" w:eastAsia="arial" w:hAnsi="arial" w:cs="arial"/>
          <w:i/>
          <w:color w:val="000000"/>
          <w:sz w:val="20"/>
          <w:lang w:val="en-US" w:eastAsia="en-US" w:bidi="ar-SA"/>
        </w:rPr>
        <w:t>Can. Aero v. O'Malley</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 Aero</w:t>
      </w:r>
      <w:r>
        <w:rPr>
          <w:rFonts w:ascii="arial" w:eastAsia="arial" w:hAnsi="arial" w:cs="arial"/>
          <w:color w:val="000000"/>
          <w:sz w:val="20"/>
          <w:lang w:val="en-US" w:eastAsia="en-US" w:bidi="ar-SA"/>
        </w:rPr>
        <w:t xml:space="preserve"> involved two officers of the plaintiff who used a corporate opportunity obtained through work to their benefit when they subsequently formed a competing company. The plaintiff brought a claim for breach of fiduciary duty. In finding there was a fiduciary duty, the Court stated at 605-606: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Grant J., the trial judge, I do not think it matters whether O'Malley and Zarzycki were properly appointed as directors of Canaero or whether they did or did not act as directors. What is not in doubt is that they acted respectively as president and executive vice-president of Canaero for about two years prior to their resignations. To paraphrase the findings of the trial judge in this respect, they acted in those positions and their remuneration and responsibilities verified their status as senior officers of Canaero. They were "top management" and not mere employees whose duty to their employer, unless enlarged by contract, consisted only of respect for trade secrets and for confidentiality of customer lists.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taken between agents and servants of an employer is apt here, and I am unable to appreciate the basis upon which the Ontario Court of Appeal concluded that O'Malley and Zarzycki were mere employees, that is servants of Canaero rather than agents. Although they were subject to supervision of the officers of the controlling company, their positions as senior officers of a subsidiary, which was a working organization, charged them with initiatives and with responsibilities far removed from the obedient role of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620,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standards of loyalty, good faith and avoidance of a conflict of duty and self-interest to which the conduct of a director or senior officer must conform, must be tested in each case by many factors which it would be reckless to attempt to enumerate exhaustively. Among them are the factor of position or office held, the nature of the corporate opportunity, its ripeness, its specificness and the director's or managerial officer's relation to it, the amount of knowledge possessed, the circumstances in which it was obtained and whether it was special or, indeed, even private, the factor of time in the continuation of fiduciary duty where the alleged breach occurs after termination of the relationship with the company, and the circumstances under which the relationship was terminated, that is whether by retirement or resignation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has become known as the "top management"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test was expanded on in subsequent cases such as </w:t>
      </w:r>
      <w:r>
        <w:rPr>
          <w:rFonts w:ascii="arial" w:eastAsia="arial" w:hAnsi="arial" w:cs="arial"/>
          <w:i/>
          <w:color w:val="000000"/>
          <w:sz w:val="20"/>
          <w:lang w:val="en-US" w:eastAsia="en-US" w:bidi="ar-SA"/>
        </w:rPr>
        <w:t>Barton Insurance Brokers v. Marion Irwin,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1999 BCCA 73</w:t>
        </w:r>
      </w:hyperlink>
      <w:r>
        <w:rPr>
          <w:rFonts w:ascii="arial" w:eastAsia="arial" w:hAnsi="arial" w:cs="arial"/>
          <w:color w:val="000000"/>
          <w:sz w:val="20"/>
          <w:lang w:val="en-US" w:eastAsia="en-US" w:bidi="ar-SA"/>
        </w:rPr>
        <w:t xml:space="preserve">. This expanded test became known as the "key employee" test: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at 79-80. The key employee test was summed up in </w:t>
      </w:r>
      <w:r>
        <w:rPr>
          <w:rFonts w:ascii="arial" w:eastAsia="arial" w:hAnsi="arial" w:cs="arial"/>
          <w:i/>
          <w:color w:val="000000"/>
          <w:sz w:val="20"/>
          <w:lang w:val="en-US" w:eastAsia="en-US" w:bidi="ar-SA"/>
        </w:rPr>
        <w:t>GasTOPS Ltd. v. Forsyth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2009 CanLII 66153</w:t>
      </w:r>
      <w:r>
        <w:rPr>
          <w:rFonts w:ascii="arial" w:eastAsia="arial" w:hAnsi="arial" w:cs="arial"/>
          <w:color w:val="000000"/>
          <w:sz w:val="20"/>
          <w:lang w:val="en-US" w:eastAsia="en-US" w:bidi="ar-SA"/>
        </w:rPr>
        <w:t xml:space="preserve"> (Ont. Sup. Ct. J.) at paras. 82-83: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Although in most cases fiduciary duties or obligations have been limited to senior officials or management of a company, on occasion, the Courts have extended fiduciary obligations to lower level employees, including those with technical rather than administrative duties, when an individual is found to be a key employee (</w:t>
      </w:r>
      <w:r>
        <w:rPr>
          <w:rFonts w:ascii="arial" w:eastAsia="arial" w:hAnsi="arial" w:cs="arial"/>
          <w:i/>
          <w:color w:val="000000"/>
          <w:sz w:val="20"/>
          <w:lang w:val="en-US" w:eastAsia="en-US" w:bidi="ar-SA"/>
        </w:rPr>
        <w:t>Wilcox v. G.W.G. Ltd.</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(1984), 4 C.C.E.L. 125</w:t>
        </w:r>
      </w:hyperlink>
      <w:r>
        <w:rPr>
          <w:rFonts w:ascii="arial" w:eastAsia="arial" w:hAnsi="arial" w:cs="arial"/>
          <w:color w:val="000000"/>
          <w:sz w:val="20"/>
          <w:lang w:val="en-US" w:eastAsia="en-US" w:bidi="ar-SA"/>
        </w:rPr>
        <w:t xml:space="preserve"> (Alta. Q.B.)). A key employee is one whose position and responsibilities are essential to the employer's business, making the employer particularly vulnerable to competition upon that employee's departure.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w:t>
      </w:r>
      <w:r>
        <w:rPr>
          <w:rFonts w:ascii="arial" w:eastAsia="arial" w:hAnsi="arial" w:cs="arial"/>
          <w:i/>
          <w:color w:val="000000"/>
          <w:sz w:val="20"/>
          <w:lang w:val="en-US" w:eastAsia="en-US" w:bidi="ar-SA"/>
        </w:rPr>
        <w:t>M.E.P. Environmental Products Ltd. v. Hi Performance Coatings Co.</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[2006] M.J. No. 211</w:t>
        </w:r>
      </w:hyperlink>
      <w:r>
        <w:rPr>
          <w:rFonts w:ascii="arial" w:eastAsia="arial" w:hAnsi="arial" w:cs="arial"/>
          <w:color w:val="000000"/>
          <w:sz w:val="20"/>
          <w:lang w:val="en-US" w:eastAsia="en-US" w:bidi="ar-SA"/>
        </w:rPr>
        <w:t xml:space="preserve"> (M.B.Q.B.), aff'd </w:t>
      </w:r>
      <w:hyperlink r:id="rId1110" w:history="1">
        <w:r>
          <w:rPr>
            <w:rFonts w:ascii="arial" w:eastAsia="arial" w:hAnsi="arial" w:cs="arial"/>
            <w:i/>
            <w:color w:val="0077CC"/>
            <w:sz w:val="20"/>
            <w:u w:val="single"/>
            <w:shd w:val="clear" w:color="auto" w:fill="FFFFFF"/>
            <w:lang w:val="en-US" w:eastAsia="en-US" w:bidi="ar-SA"/>
          </w:rPr>
          <w:t>2007 MBCA 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M.E.P. Environmental</w:t>
      </w:r>
      <w:r>
        <w:rPr>
          <w:rFonts w:ascii="arial" w:eastAsia="arial" w:hAnsi="arial" w:cs="arial"/>
          <w:color w:val="000000"/>
          <w:sz w:val="20"/>
          <w:lang w:val="en-US" w:eastAsia="en-US" w:bidi="ar-SA"/>
        </w:rPr>
        <w:t>], enumerates more specific indicia that can be used to determine whether a former employee could be classified as "key":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to be considered on the issue of whether a former employee was a "key employee", such that he or she owed a fiduciary duty to their former employer and not to solicit former employer's customers may be summarized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employee's job duties with the former employer?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extent or frequency of the contact between the employee and the former employer's customers and/or suppliers?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employee the primary contact with the customers and (or) suppliers?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was the employee responsible for sales or revenue?</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did the employee have access to and make use of, or otherwise have knowledge of, the former employer's customers, their accounts, the former employer's pricing practices, and the pricing of products and services?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was the former employee's information as regards customers, suppliers, pricing, etc.,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 finding of an employee as "key" does not necessarily mean he/she was in a fiduciary capacity to the company. Madam Justice Holmes stated in </w:t>
      </w:r>
      <w:r>
        <w:rPr>
          <w:rFonts w:ascii="arial" w:eastAsia="arial" w:hAnsi="arial" w:cs="arial"/>
          <w:i/>
          <w:color w:val="000000"/>
          <w:sz w:val="20"/>
          <w:lang w:val="en-US" w:eastAsia="en-US" w:bidi="ar-SA"/>
        </w:rPr>
        <w:t>RBC Dominion Securities v. Merrill Lynch Canada et al.</w:t>
      </w:r>
      <w:r>
        <w:rPr>
          <w:rFonts w:ascii="arial" w:eastAsia="arial" w:hAnsi="arial" w:cs="arial"/>
          <w:color w:val="000000"/>
          <w:sz w:val="20"/>
          <w:lang w:val="en-US" w:eastAsia="en-US" w:bidi="ar-SA"/>
        </w:rPr>
        <w:t xml:space="preserve">, </w:t>
      </w:r>
      <w:hyperlink r:id="rId1111" w:history="1">
        <w:r>
          <w:rPr>
            <w:rFonts w:ascii="arial" w:eastAsia="arial" w:hAnsi="arial" w:cs="arial"/>
            <w:i/>
            <w:color w:val="0077CC"/>
            <w:sz w:val="20"/>
            <w:u w:val="single"/>
            <w:shd w:val="clear" w:color="auto" w:fill="FFFFFF"/>
            <w:lang w:val="en-US" w:eastAsia="en-US" w:bidi="ar-SA"/>
          </w:rPr>
          <w:t>2003 BCSC 1773</w:t>
        </w:r>
      </w:hyperlink>
      <w:r>
        <w:rPr>
          <w:rFonts w:ascii="arial" w:eastAsia="arial" w:hAnsi="arial" w:cs="arial"/>
          <w:color w:val="000000"/>
          <w:sz w:val="20"/>
          <w:lang w:val="en-US" w:eastAsia="en-US" w:bidi="ar-SA"/>
        </w:rPr>
        <w:t xml:space="preserve"> at paras. 44-45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 In particular, I do not conclude from the decision that every employee who may be described as "key" to the ongoing functioning of an organization is necessarily in a fiduciary relationship to the organization. Also, to the extent that the finding of a fiduciary relationship rested on the circumstances of the defendant's departure, it appears to be inconsistent with authorities such as </w:t>
      </w:r>
      <w:r>
        <w:rPr>
          <w:rFonts w:ascii="arial" w:eastAsia="arial" w:hAnsi="arial" w:cs="arial"/>
          <w:i/>
          <w:color w:val="000000"/>
          <w:sz w:val="20"/>
          <w:lang w:val="en-US" w:eastAsia="en-US" w:bidi="ar-SA"/>
        </w:rPr>
        <w:t>Barton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which assess the character of the employment relationship during its currency.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 therefore do not find a basis in law for the broad proposition [RBC] D[ominion] S[ecurities] asserts, that because the I[nvestment] A[dvisor]s were key to the functioning of the branch, they were for that reason alone in a fiduciary relationship with DS. To characterize as a fiduciary every employee who is necessary to an operation and who is difficult to replace would be, in my view, to extend the reach of the fiduciary relationship beyond its proper scope as contemplated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GasTOPS</w:t>
      </w:r>
      <w:r>
        <w:rPr>
          <w:rFonts w:ascii="arial" w:eastAsia="arial" w:hAnsi="arial" w:cs="arial"/>
          <w:color w:val="000000"/>
          <w:sz w:val="20"/>
          <w:lang w:val="en-US" w:eastAsia="en-US" w:bidi="ar-SA"/>
        </w:rPr>
        <w:t xml:space="preserve"> the court said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After identifying an employee as "key", further determining whether that employee is a "fiduciary" is a difficult endeavour. According to James D'Andrea, "generally, a fiduciary is one who is empowered to act on behalf of and for the benefit of another with the ability to affect that other's interest through the use of discretion" (</w:t>
      </w:r>
      <w:r>
        <w:rPr>
          <w:rFonts w:ascii="arial" w:eastAsia="arial" w:hAnsi="arial" w:cs="arial"/>
          <w:i/>
          <w:color w:val="000000"/>
          <w:sz w:val="20"/>
          <w:lang w:val="en-US" w:eastAsia="en-US" w:bidi="ar-SA"/>
        </w:rPr>
        <w:t>Employment Obligations in Canada</w:t>
      </w:r>
      <w:r>
        <w:rPr>
          <w:rFonts w:ascii="arial" w:eastAsia="arial" w:hAnsi="arial" w:cs="arial"/>
          <w:color w:val="000000"/>
          <w:sz w:val="20"/>
          <w:lang w:val="en-US" w:eastAsia="en-US" w:bidi="ar-SA"/>
        </w:rPr>
        <w:t>, looseleaf (Aurora Ont.; Canada Law Book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court goes on to discuss factors to be considered in whether a key employee is a fiduciary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The jurisprudence has imposed fiduciary obligations on employees in a number of different factual circumstances and in so doing have considered: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employee has scope for the exercise of some discretion or power, the employee can unilaterally exercise that power or discretion so as to effect the [beneficiary's] legal or practical interest and whether the beneficiary is vulnerable to or at the mercy of the fiduciary holding the discretion or power;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customer contact information, needs and preferences, and therefore, an ability to influence customers. ...</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the business and market opportunity of the employer or playing a role in the employer's strategic market development is a consideration in determining if the employees owed a fiduciary duty to the former employer. ...</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and access to confidential information. ...</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direct and trusted relationships with existing and potential customers, particularly where there is a "unique relationship with the [clients'] personnel contacts and [the defendants] had direct access to confidential information as to the clients' needs, preferences and accepted rates": see </w:t>
      </w:r>
      <w:r>
        <w:rPr>
          <w:rFonts w:ascii="arial" w:eastAsia="arial" w:hAnsi="arial" w:cs="arial"/>
          <w:i/>
          <w:color w:val="000000"/>
          <w:sz w:val="20"/>
          <w:lang w:val="en-US" w:eastAsia="en-US" w:bidi="ar-SA"/>
        </w:rPr>
        <w:t>Quantum Management Services Ltd. v. Hann et al.</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[1996] O.J. No. 5382</w:t>
        </w:r>
      </w:hyperlink>
      <w:r>
        <w:rPr>
          <w:rFonts w:ascii="arial" w:eastAsia="arial" w:hAnsi="arial" w:cs="arial"/>
          <w:color w:val="000000"/>
          <w:sz w:val="20"/>
          <w:lang w:val="en-US" w:eastAsia="en-US" w:bidi="ar-SA"/>
        </w:rPr>
        <w: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the employee's functions are essential to the employer's business, therefore rendering the employer vulnerable to the employee's departure: see J. Thorburn and K. Fairbairn, </w:t>
      </w:r>
      <w:r>
        <w:rPr>
          <w:rFonts w:ascii="arial" w:eastAsia="arial" w:hAnsi="arial" w:cs="arial"/>
          <w:i/>
          <w:color w:val="000000"/>
          <w:sz w:val="20"/>
          <w:lang w:val="en-US" w:eastAsia="en-US" w:bidi="ar-SA"/>
        </w:rPr>
        <w:t>Law of Confidential Business Information</w:t>
      </w:r>
      <w:r>
        <w:rPr>
          <w:rFonts w:ascii="arial" w:eastAsia="arial" w:hAnsi="arial" w:cs="arial"/>
          <w:color w:val="000000"/>
          <w:sz w:val="20"/>
          <w:lang w:val="en-US" w:eastAsia="en-US" w:bidi="ar-SA"/>
        </w:rPr>
        <w:t>, looseleaf, (Aurora, Ontario: Canada Law Book, 1998) at 4:5200 at 4-26.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one of these factors, or a combination of them, could result in a finding that an individual owes a fiduciary obligation to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Justice Sigurdson summed up the distinction (or lack thereof) between the principled approach outlined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and the categorical approach from </w:t>
      </w:r>
      <w:r>
        <w:rPr>
          <w:rFonts w:ascii="arial" w:eastAsia="arial" w:hAnsi="arial" w:cs="arial"/>
          <w:i/>
          <w:color w:val="000000"/>
          <w:sz w:val="20"/>
          <w:lang w:val="en-US" w:eastAsia="en-US" w:bidi="ar-SA"/>
        </w:rPr>
        <w:t>Can. Aero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Barton</w:t>
      </w:r>
      <w:r>
        <w:rPr>
          <w:rFonts w:ascii="arial" w:eastAsia="arial" w:hAnsi="arial" w:cs="arial"/>
          <w:color w:val="000000"/>
          <w:sz w:val="20"/>
          <w:lang w:val="en-US" w:eastAsia="en-US" w:bidi="ar-SA"/>
        </w:rPr>
        <w:t xml:space="preserve"> in this way at paras. 81-82 of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other words, while the Court [in </w:t>
      </w:r>
      <w:r>
        <w:rPr>
          <w:rFonts w:ascii="arial" w:eastAsia="arial" w:hAnsi="arial" w:cs="arial"/>
          <w:i/>
          <w:color w:val="000000"/>
          <w:sz w:val="20"/>
          <w:lang w:val="en-US" w:eastAsia="en-US" w:bidi="ar-SA"/>
        </w:rPr>
        <w:t>Anderson, Smyth &amp; Kelly Customs Brokers Ltd. v. World Wide Customs Brokers Ltd.</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1996 ABCA 169</w:t>
        </w:r>
      </w:hyperlink>
      <w:r>
        <w:rPr>
          <w:rFonts w:ascii="arial" w:eastAsia="arial" w:hAnsi="arial" w:cs="arial"/>
          <w:color w:val="000000"/>
          <w:sz w:val="20"/>
          <w:lang w:val="en-US" w:eastAsia="en-US" w:bidi="ar-SA"/>
        </w:rPr>
        <w:t xml:space="preserve">] relied on the designation of Kelly as a "key employee" who could "unilaterally exercise his delegated authority to affect the Appellant's legal and economic interests", its decision was based not solely on the finding that he fell into that category, but on the same underlying principles articulated by Wilson J.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summary, the application of the categorical approach of "top management" or "key employee" to determine if a person is a fiduciary is, in my view, little different, in substance, to the principled approach described in the Supreme Court of Canada cases that I have cited.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submits that Ms. Gannon owed it a fiduciary duty. In support, it cites her acknowledgement that she was the "top employee" of the Vancouver office; her $200,000 salary; her bonus plan; her title of executive creative director; the 2008 job description; the multiple roles she had at Zoic BC, including artist, salesperson and human resources manager; the high level of discretion she had to manage Zoic BC and her access to confidential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addition to the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 Aero</w:t>
      </w:r>
      <w:r>
        <w:rPr>
          <w:rFonts w:ascii="arial" w:eastAsia="arial" w:hAnsi="arial" w:cs="arial"/>
          <w:color w:val="000000"/>
          <w:sz w:val="20"/>
          <w:lang w:val="en-US" w:eastAsia="en-US" w:bidi="ar-SA"/>
        </w:rPr>
        <w:t xml:space="preserve"> decisions, the plaintiff relies on </w:t>
      </w:r>
      <w:r>
        <w:rPr>
          <w:rFonts w:ascii="arial" w:eastAsia="arial" w:hAnsi="arial" w:cs="arial"/>
          <w:i/>
          <w:color w:val="000000"/>
          <w:sz w:val="20"/>
          <w:lang w:val="en-US" w:eastAsia="en-US" w:bidi="ar-SA"/>
        </w:rPr>
        <w:t>Procon Mining &amp; Tennelling Ltd. v. McNeil</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2010 BCSC 487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Beyer-Brown &amp; Associates Ltd. v. S &amp; R Interiors Ltd.</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2007 BCSC 327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(1983), 22 B.L.R. 255</w:t>
        </w:r>
      </w:hyperlink>
      <w:r>
        <w:rPr>
          <w:rFonts w:ascii="arial" w:eastAsia="arial" w:hAnsi="arial" w:cs="arial"/>
          <w:color w:val="000000"/>
          <w:sz w:val="20"/>
          <w:lang w:val="en-US" w:eastAsia="en-US" w:bidi="ar-SA"/>
        </w:rPr>
        <w:t xml:space="preserve"> (B.C.S.C.) and the aforementioned </w:t>
      </w:r>
      <w:r>
        <w:rPr>
          <w:rFonts w:ascii="arial" w:eastAsia="arial" w:hAnsi="arial" w:cs="arial"/>
          <w:i/>
          <w:color w:val="000000"/>
          <w:sz w:val="20"/>
          <w:lang w:val="en-US" w:eastAsia="en-US" w:bidi="ar-SA"/>
        </w:rPr>
        <w:t>GasTOPS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Procon</w:t>
      </w:r>
      <w:r>
        <w:rPr>
          <w:rFonts w:ascii="arial" w:eastAsia="arial" w:hAnsi="arial" w:cs="arial"/>
          <w:color w:val="000000"/>
          <w:sz w:val="20"/>
          <w:lang w:val="en-US" w:eastAsia="en-US" w:bidi="ar-SA"/>
        </w:rPr>
        <w:t>, the defendant, Mr. McNeil, received secret commissions during the course of his employment. Procon brought an action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McNeil oversaw the plaintiff's equipment facility in Nisku, Alberta. He had the authority, although not unlimited, to purchase parts and equipment for the facility, as well as make personnel decisions. The court determined he "was one of the very small group of trusted senior managers of Procon": at para. 86. The defence had argued that Mr. McNeil's management role was "circumscribed and limited": at para. 88. In response, the court stated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While it is the case, as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that there were substantial management functions that Mr. McNeil did not perform, having regard to all the circumstances including the management functions he did perform, the fact that he was one of a small core of management, and the unique position he occupied managing the Nisku equipment center, I find that he was a fiduciary. As in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the fact that the employee is not a director or senior officer is not a bar to a finding that he is a fiduciary.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Beyer-Brown</w:t>
      </w:r>
      <w:r>
        <w:rPr>
          <w:rFonts w:ascii="arial" w:eastAsia="arial" w:hAnsi="arial" w:cs="arial"/>
          <w:color w:val="000000"/>
          <w:sz w:val="20"/>
          <w:lang w:val="en-US" w:eastAsia="en-US" w:bidi="ar-SA"/>
        </w:rPr>
        <w:t xml:space="preserve"> involved a defendant who failed to bid on a contract with Citizen and Immigration Canada, as was his responsibility. Instead, he bid on the same contract on behalf of the defendant company, S &amp; R Interiors Ltd., in which he owned a 50% share. S &amp; R won the contract. In assessing whether he was a fiduciary, the court cited the Supreme Court of Canada's decision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The court found the defendant was a fiduciary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For the 16 years he was employed by the Plaintiff, Mr. Mason acted as its agent with respect to the CIC contract. That is, he had scope for the exercise of some discretion or power because he had assumed the responsibility of preparing and tendering the Plaintiff's bid for the CIC contract throughout. He could unilaterally exercise that power or discretion so as to affect the Plaintiff's practical interests because the Plaintiff left it up to him to tender its bid. That is, the Plaintiff did not check with Mr. Mason each time to ensure that he was preparing its bid. Lastly, because the Plaintiff relied on Mr. Mason to tender its bid, it was vulnerable to, or at the mercy of, Mr. Mason. If he failed to notify the Plaintiff that he was not tendering a bid on its behalf, the Plaintiff would be unaware of that fact and would lose the opportunity to submit a bid of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defendant in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was found to be a fiduciary based on the "unique position which he held in the company, including the control he exercised in the acquisition and disposition of M[acMillan] B[loedel]'s property": at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GasTOPS</w:t>
      </w:r>
      <w:r>
        <w:rPr>
          <w:rFonts w:ascii="arial" w:eastAsia="arial" w:hAnsi="arial" w:cs="arial"/>
          <w:color w:val="000000"/>
          <w:sz w:val="20"/>
          <w:lang w:val="en-US" w:eastAsia="en-US" w:bidi="ar-SA"/>
        </w:rPr>
        <w:t xml:space="preserve"> is a lengthy decision from the Ontario Superior Court of Justice in which all four personal defendants were found to be key employees who owed a fiduciary duty. Examples of the court's reasoning relating to the defendants Forsyth and Brouse can be found in the following excerpts of paras. 167 and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[167] It is clear that Forsyth played a key role in managing and directing the business activities of the industrial program of GasTOPS' MSD. Forsyth was primarily responsible for the business development activities within the industrial system business unit, including marketing and sales of engineering services and products. On the financial side, Forsyth was responsible for budgeting and contract management.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It is clear that Brouse was primarily responsible for the continued growth of the Aero Program, the number one revenue generator within GasTOPS. It is also clear that Brouse was involved in the marketing, negotiation and execution of contracts on behalf of GasTOPS. He played a key role in GasTOPS' marketing effort to the United States Navy and in establishing a solid working relationship with GasTOPS partner, B.F. Goodrich.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cite many cases regarding their assertion that Ms. Gannon is not a key employee or a fiduciary, including the following: </w:t>
      </w:r>
      <w:r>
        <w:rPr>
          <w:rFonts w:ascii="arial" w:eastAsia="arial" w:hAnsi="arial" w:cs="arial"/>
          <w:i/>
          <w:color w:val="000000"/>
          <w:sz w:val="20"/>
          <w:lang w:val="en-US" w:eastAsia="en-US" w:bidi="ar-SA"/>
        </w:rPr>
        <w:t>Can. Aero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Barton Insurance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RBC Dominion Securities Inc. v. Merrill Lynch Canada Inc.,</w:t>
      </w:r>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2008 SCC 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Alberts et al. v. Mountjoy et al.</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(1977), 16 O.R. (2d) 682</w:t>
        </w:r>
      </w:hyperlink>
      <w:r>
        <w:rPr>
          <w:rFonts w:ascii="arial" w:eastAsia="arial" w:hAnsi="arial" w:cs="arial"/>
          <w:color w:val="000000"/>
          <w:sz w:val="20"/>
          <w:lang w:val="en-US" w:eastAsia="en-US" w:bidi="ar-SA"/>
        </w:rPr>
        <w:t xml:space="preserve"> (H. Ct. J.); </w:t>
      </w:r>
      <w:r>
        <w:rPr>
          <w:rFonts w:ascii="arial" w:eastAsia="arial" w:hAnsi="arial" w:cs="arial"/>
          <w:i/>
          <w:color w:val="000000"/>
          <w:sz w:val="20"/>
          <w:lang w:val="en-US" w:eastAsia="en-US" w:bidi="ar-SA"/>
        </w:rPr>
        <w:t>Imperial Sheet Metal Ltd. v. Landry</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2007 NBCA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Valley First Financial Services Ltd. v. Trach</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2004 BCCA 312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Gateway Inn (1993) Ltd. v. Lomond</w:t>
      </w:r>
      <w:r>
        <w:rPr>
          <w:rFonts w:ascii="arial" w:eastAsia="arial" w:hAnsi="arial" w:cs="arial"/>
          <w:color w:val="000000"/>
          <w:sz w:val="20"/>
          <w:lang w:val="en-US" w:eastAsia="en-US" w:bidi="ar-SA"/>
        </w:rPr>
        <w:t xml:space="preserve"> </w:t>
      </w:r>
      <w:hyperlink r:id="rId1121" w:history="1">
        <w:r>
          <w:rPr>
            <w:rFonts w:ascii="arial" w:eastAsia="arial" w:hAnsi="arial" w:cs="arial"/>
            <w:i/>
            <w:color w:val="0077CC"/>
            <w:sz w:val="20"/>
            <w:u w:val="single"/>
            <w:shd w:val="clear" w:color="auto" w:fill="FFFFFF"/>
            <w:lang w:val="en-US" w:eastAsia="en-US" w:bidi="ar-SA"/>
          </w:rPr>
          <w:t>(2003), 225 Nfld. &amp; P.E.I.R. 121</w:t>
        </w:r>
      </w:hyperlink>
      <w:r>
        <w:rPr>
          <w:rFonts w:ascii="arial" w:eastAsia="arial" w:hAnsi="arial" w:cs="arial"/>
          <w:color w:val="000000"/>
          <w:sz w:val="20"/>
          <w:lang w:val="en-US" w:eastAsia="en-US" w:bidi="ar-SA"/>
        </w:rPr>
        <w:t xml:space="preserve"> (Nfld. S.C.(T.D.)) and </w:t>
      </w:r>
      <w:r>
        <w:rPr>
          <w:rFonts w:ascii="arial" w:eastAsia="arial" w:hAnsi="arial" w:cs="arial"/>
          <w:i/>
          <w:color w:val="000000"/>
          <w:sz w:val="20"/>
          <w:lang w:val="en-US" w:eastAsia="en-US" w:bidi="ar-SA"/>
        </w:rPr>
        <w:t>KRG Insurance Brokers v. Shafron &amp; Other</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2005 BCSC 1611</w:t>
        </w:r>
      </w:hyperlink>
      <w:r>
        <w:rPr>
          <w:rFonts w:ascii="arial" w:eastAsia="arial" w:hAnsi="arial" w:cs="arial"/>
          <w:color w:val="000000"/>
          <w:sz w:val="20"/>
          <w:lang w:val="en-US" w:eastAsia="en-US" w:bidi="ar-SA"/>
        </w:rPr>
        <w:t xml:space="preserve">, aff'd on finding that defendant was not a fiduciary, </w:t>
      </w:r>
      <w:hyperlink r:id="rId1123" w:history="1">
        <w:r>
          <w:rPr>
            <w:rFonts w:ascii="arial" w:eastAsia="arial" w:hAnsi="arial" w:cs="arial"/>
            <w:i/>
            <w:color w:val="0077CC"/>
            <w:sz w:val="20"/>
            <w:u w:val="single"/>
            <w:shd w:val="clear" w:color="auto" w:fill="FFFFFF"/>
            <w:lang w:val="en-US" w:eastAsia="en-US" w:bidi="ar-SA"/>
          </w:rPr>
          <w:t>2007 BCCA 79</w:t>
        </w:r>
      </w:hyperlink>
      <w:r>
        <w:rPr>
          <w:rFonts w:ascii="arial" w:eastAsia="arial" w:hAnsi="arial" w:cs="arial"/>
          <w:color w:val="000000"/>
          <w:sz w:val="20"/>
          <w:lang w:val="en-US" w:eastAsia="en-US" w:bidi="ar-SA"/>
        </w:rPr>
        <w:t xml:space="preserve"> at para. 26, aff'd on this point </w:t>
      </w:r>
      <w:hyperlink r:id="rId1124" w:history="1">
        <w:r>
          <w:rPr>
            <w:rFonts w:ascii="arial" w:eastAsia="arial" w:hAnsi="arial" w:cs="arial"/>
            <w:i/>
            <w:color w:val="0077CC"/>
            <w:sz w:val="20"/>
            <w:u w:val="single"/>
            <w:shd w:val="clear" w:color="auto" w:fill="FFFFFF"/>
            <w:lang w:val="en-US" w:eastAsia="en-US" w:bidi="ar-SA"/>
          </w:rPr>
          <w:t>2009 SCC 6</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argue that while Ms. Gannon may have been a top employee who was integral to the running of Zoic BC, she did not have the authority to guide the business affairs of Zoic BC. The business affairs were guided by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point out Ms. Gannon did not have the authority to sign the lease to rent office space for Zoic BC; change daily rates within budgets; hire full-time employees; purchase large items, such as computer systems; or enter into contracts on behalf of Zoic BC. Her authority was limited, for the most part, to making recommendations and participating with Los Angeles regarding decisions affecting Zoic BC. Ms. Gannon's authority should be viewed in the light of Zoic BC's position in relation to Zoic LA - that is, as its subsidiary.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start this analysis by stating that I agree with Sigurdson J.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that substantively there is little difference between the categorical and principled approach to determining whether an employee is a fiduciary. It appears the ability of the employee to control the legal or economic interests of the employer is an important function of the fiduciary in both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any case, under either approach I cannot find that Ms. Gannon stood in a fiduciary position to Zoic BC. Admittedly, this is a case that comes very close to the line. Had Ms. Gannon had any additional authority I would have concluded that she was in a fiduciary position. As it stands, however, in my view, Ms. Gannon did not rise to that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not disputed that Ms. Gannon had never occupied the position of an officer or director of Zoic BC. Equally, it is also not disputed that Ms. Gannon was the "top employee" in Zoic BC. This fact alone, however, is not enough to engender a fiduciary relationship between Ms. Gannon and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agree with the defendants that the structure of Zoic BC must be viewed in relation to Zoic LA. Zoic BC is a wholly owned subsidiary. In my opinion, it would be artificial to view the structure of Zoic BC on its own, without regard to the guiding influence and oversight of Zoic LA. While Ms. Gannon may have been the "top employee", or any of the other titles bestowed on her throughout the course of this trial, she still answered to the management of Zoic LA. In my view, the management of Zoic LA is the top management of both Zoic studios. The control and authority of Zoic BC lies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Several of the plaintiff's witnesses testified about the role of Ms. Gannon. Mr. McBride was particularly enthusiastic in his description of her duties. Mr. McBride testified that Ms. Gannon was in charge of everything from finding an office at the start of Zoic BC to decorating the office, employee morale, managing artist schedules, hiring, firing, setting pay rates, promotions, wage increases, budgets, supervising the artists, etc. She sometimes even acted as visual effects supervisor on projects. He described her as the executive creative director and pointed out that the only other executive creative directors were three shareholders in the LA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testified that there was minimal oversight of Ms. Gannon by Zoic LA. Zoic LA management would talk to Ms. Gannon either informally on the phone once every week or two, or schedule a more formal meeting every two to three weeks. Every year they would have a meeting with Ms. Gannon in LA regarding the "big picture" for Zoic BC and how to grow revenue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testified that Ms. Gannon had ready access to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Branan and Ms. Fiore both testified that Ms. Gannon held the equivalent to their respective positions in Zoic BC: production/scheduling and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Mooney, who worked closely with Ms. Gannon, also testified as to her role. He agreed with much of what the other witnesses said with some notable exceptions, which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Gannon testified that she did hire and dismiss employees, but did not hire producers or permanent employees. She says that she oversaw the artists in a creative capacity and was involved in budgeting in relation to the number of the hours it would take to complete a project. She determined hourly pay rates for temporary employees and made recommendations on raises, although the final approval would come from Zoic LA. She was not involved in promoting employees in any significant way, other than from a compositing role to a more lead artist role. This did not involve a pay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Gannon denies being involved to any significant degree in sales or client management. She acknowledges that she was responsible for ensuring clients' continued business. She also acknowledges her role in maintaining employee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Gannon says she did not have the authority to sign contracts on behalf of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do not find that any of the plaintiff's witnesses were untruthful. I do find, however, the evidence of Ms. Gannon regarding her role in the company to be more convincing. Overall, I found Ms. Gannon to be truthful, if a bit naive and occasionally wilfully blind to the conflict she created through the circumstances of her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were times, which I will discuss in subsequent sections, when I also found Ms. Gannon to be less than forthright. I did not perceive Ms. Gannon in general, however, to be an untruthful or not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By contrast, I found the plaintiff's witnesses less than objective, particularly Mr. McBride, Ms. Branan, Ms. Fiore and Mr. Mooney. As noted, I prefer Ms. Gannon's evidence to theirs.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McBride stands out as one of the less credible witnesses. My impression of Mr. McBride is that he tailored his evidence to fit what he believed was required to make Ms. Gannon out as a fiduciary. There are numerous examples of Mr. McBride tailoring his evidence to portray Ms. Gannon in a fiduciary role. One, admittedly lengthy, example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Yeah. But she didn't have the authority to set up the computer equipment, did she? That was run out of 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she wouldn't have necessarily known how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had a -- an engineering department that has the technical skills to be able to do that. So she would have been involved as -- in a senior level, talking about the way that we were going to set it up, the way that it was going to function in the office, the way that it was going to connect with Los Angeles, as more of, you know, overall responsibility. That would be like saying -- you know, my partners, when we set up the L.A. office didn't do that. That's not their specific skill set. We have an engineer and a department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the -- the necessary purchasing authority for Zoic BC of -- for something that expensive would have had to come out of L.A.;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necessarily. I think I spoke to that earlier, in the last day or so, that Patti was involved determining what we needed to run an effective office. As the senior artist, as the creative director, as the senior employee, she was fully engaged in deciding what the office needed, and then at that point the engineering department would install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just in respect of that authority, we -- you haven't produced any -- any memos demonstrating that, have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Demonstrating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Showing her input into the -- into the infrastructure of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don't think we had memos. I think these were conversations. We talked about what we needed and directed the engineering department to install as such.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Just -- well, we haven't seen any notes of conversations.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don't normally take notes. We don't have minutes, we don't -- we're really a nimble operation. We're -- we're a select few that are having these conversations. We decide what we need to do and we do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just to cover off, we haven't seen any emails in respect of her making recommendations for the purchase of computer equipment either, have 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don't know that we were asked for such. We didn't go looking for that. That's what -- I don't think it's fair to suggest that we didn't have conversations. We certainly decided what we needed to do to open up a terrific office, and we did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Mr. McBride, may I ask this, then. Who authorized the equipment purchases for the Vancouver office? The -- the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Who authorized it? I think ultimately, you know, a handful of us did. You know, we -- we're a collaborative company. So my partner Chris Jones and I, Patti Gannon, and Saker Klippsten, the head of engineering would have had numerous conversations about what was necessary. Saker would have done the bidding - he's our head of engineering - to -- to determine pricing. We would have decided what it was. The -- I guess the ultimate determination in terms of the final would have been Chris Jones and myself, but it was under significant input all the way along the way, not just this first purchase.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understand that. I just want to know who paid the bill.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company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The company did. But if it cost $250,000, would you have some say about making that outlay of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Oh, absolutely, which is how I've portrayed that. It was a collaborative conversation, absolutely.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McBride seemed reluctant to admit that Zoic LA would have to approve a large expenditure such as computer equipment. I find it difficult to believe that Ms. Gannon would not have had to get Zoic LA's approval for expensive computer equipment. In my view, Mr. McBride was evasive on the issue, refusing to answer the question until the Court asked him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also note that when it suited Mr. McBride he played up Ms. Gannon's "elevation" to executive creative director: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 At some point, I believe it was in 2008, as the Zoic LA office continued to expand and we were promoting some other people -- there were a couple of people we promoted to creative director at which point, in order to signify -- signify my three partners, their titles elevated to executive creative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at the same time, approximately, we did the same thing [indiscernible/buzz].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Her [Ms. Gannon's] title became executive creative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Thank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color w:val="000000"/>
          <w:sz w:val="20"/>
          <w:u w:val="single"/>
          <w:lang w:val="en-US" w:eastAsia="en-US" w:bidi="ar-SA"/>
        </w:rPr>
        <w:t>So we -- you know, we've only had four executive creative directors in the history of the company. It's three of my partners, the shareholders, and Patti.</w:t>
      </w:r>
      <w:r>
        <w:rPr>
          <w:rFonts w:ascii="arial" w:eastAsia="arial" w:hAnsi="arial" w:cs="arial"/>
          <w:color w:val="000000"/>
          <w:sz w:val="20"/>
          <w:lang w:val="en-US" w:eastAsia="en-US" w:bidi="ar-SA"/>
        </w:rPr>
        <w:t xml:space="preserve"> For a, you know, number of years, we only had four creative directors of the company before we started promoting a few other people within and it was Patti and Randy, who was gone after a year and a half or two, and my three partners.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When it suited him to downplay the "elevation"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If I could take you, Mr. McBride, please, to Tab 20 of Exhibit 4, the same joint book. And as -- as I understood your evidence, it was in about 2008 that you say Ms. Gannon was elevated to executive creative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this was one of only four executive creative directors in the history of Zoic LA and Zoic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again, I'm just saying we haven't seen any emails or any contemporaneous documentation with respect to that, have 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It wasn't -- you know, it wasn't something that we did a press release over, it wasn't something that we considered to be promotional. My partners didn't get a raise when we elevated them to executive creative director. It was simply an operational step that as the company was growing and we were promoting a couple people from within it was deference to the four creative directors to have them elevated above. We just simply elevated those titles to recognize that they were above the creative directors that we were promoting underneath as part of the growth of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aside from -- from whether or not one would publicize it outside the company, we haven't seen any internal emails reflecting this, have 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There likely weren't any internal emails. Again, it was just simply facilitating -- naming a couple people as creative directors underneath. My partners and I had a conversation, we talked about, "Hey, we're promoting people. Are they going to have the same level as you?" And their position was, "I guess we call ourselves executive creative directors." And somewhere around that same time the determination was made to do the same thing with Patti.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there was no paper records or electronic records kept of any kind of people elevating up to this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there was; right? It was put on the website, it was put in the paperwork with Ms. Gannon, in terms of her job description and in terms of her bonus, where it listed her as a E.C. I mean, it was kind of subsequent to the -- it wasn't an announcement, there wasn't paperwork thrown in a file, it was just simply allowing people underneath them to have the title creative director and respecting those that were above that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just so I understand, so there was no note placed in -- in people's files to reflect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how were they supposed to know that they were executive creative directors now? Just word of mouth?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there was a conversation about it on a couple of occasions, certainly.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we haven't seen any -- any emails of reaction from Ms. Gannon on being told this news either, have 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quite frankly and honestly, it wasn't big, exciting news. She had the same role. She was the lead creative -- she was the lead senior manager, she was the lead executive in the office. There was no promotion with my partners, there was no promotion for Patti, it was just the title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she -- she was being elevated to the same level as the three founding partners of Zoic LA, wasn't she?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 was already at the same level. They were creative directors for many years together. They just simply went to executive creative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it's a bit different from that. I mean, these were the three founding shareholders of the company, and Ms. Gannon is being elevated to the same level as them, despite not being a shareholder or -- or a founder. And I'm saying that -- you know, I'm -- I'm surprised, and I'm wondering why is there no -- no email announcements, no -- no nothing reflecting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color w:val="000000"/>
          <w:sz w:val="20"/>
          <w:u w:val="single"/>
          <w:lang w:val="en-US" w:eastAsia="en-US" w:bidi="ar-SA"/>
        </w:rPr>
        <w:t>Because I think you're trying to make this a bigger issue than it was.</w:t>
      </w:r>
      <w:r>
        <w:rPr>
          <w:rFonts w:ascii="arial" w:eastAsia="arial" w:hAnsi="arial" w:cs="arial"/>
          <w:color w:val="000000"/>
          <w:sz w:val="20"/>
          <w:lang w:val="en-US" w:eastAsia="en-US" w:bidi="ar-SA"/>
        </w:rPr>
        <w:t xml:space="preserve"> The big promotion for her was years prior when she was given the promotion and the title of creative director, and that was the top position in -- we're a creative company. That was the top creative position in the company. It was the same level as the partners; right?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Branan, Ms. Fiore and Mr. Mooney left the impression that the goal was to paint Ms. Gannon as black as possible to win points from management. I also found Ms. Branan's and Ms. Fiore's testimonies to be tainted with the sense of betrayal they feel over Ms. Gannon's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my view, the plaintiff's argument that Ms. Gannon was a fiduciary is founded mainly on other witnesses' views of her as "top employee", "boss", "running the shop" and "person in charge" of Zoic BC, and not on what authority she actually held. Ms. Gannon's authority was not as unfettered as plaintiff's counsel portrays.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I find that Ms. Gannon was a key employee of Zoic BC, I do not find that the evidence supports she had the ability to affect its legal or economic interests, an element that is necessary for both the principled and the categorical approaches to determination of fiduciary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example, I do not doubt that Ms. Gannon was in charge of hiring and firing employees. However, I believe that Ms. Gannon hired the temporary employees as opposed to the permanent staff. This was supported in the testimony of Mr. Mooney.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with -- with staff employees, people who were going to be permanent members of the company, and those tended to be expensive hires, we -- you know, we would discuss what our feelings were. You know, Patti would, you know, weigh in, give the approval, but usually at that point she would discuss the hire with Los Angeles because those were, you know, kind of permanent ongoing expenses and, you know, they were, again, some of the more expensive employees. So only in those cases would we really, you know, feel the need to consult with L.A. prior to, you know, inking -- inking the deal, so to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Thus, large decisions relating to human resources were not in the discretion of Ms. Gannon. In the words of Mr. Mooney, decisions that would result in "permanent ongoing expenses" were at the discretion of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Furthermore, Ms. Gannon testified, and I find, that she never hired producers. This is another significant lack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acknowledge that Mr. Mooney testified the bulk of the hires were not the permanent staff, but the temporary artists. I find Ms. Gannon had discretion to hire these employees. However, I find it significant that the more expensive hires were not at her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Another example of Ms. Gannon's authority being limited is in regard to pay raises. Ms. Gannon testified she and Mr. Mooney would discuss pay raises. She states she did not have the final decision - that was made by Zoic LA. Mr. Mooney testified that Ms. Gannon and he would discuss pay raises, but Ms. Gannon had the final say. He testified to the "one instance" where Zoic LA had overruled a raise. This involved an employee, Aaron Brown, whom Ms. Gannon and Mr. Mooney had offered a raise from $30 per hour to $45. This was a significant raise. Zoic LA intervened and the raise was lowered to $41.50.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Again, I do not view this as evidence of the discretion of Ms. Gannon to give raises, but as evidence that, in fact, Zoic LA had the final authority on these matters. Perhaps most of Ms. Gannon's recommendations on raises and hiring were accepted. It was, however, in the power of Zoic LA to decline her recommendations and it did so when it felt the circumstances warranted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Much was made of the job description that Ms. Branan drew up for Ms. Gannon in 2008. I believe Ms. Gannon, and find as fact, that she did not see that job description prior to the commencement of this litigation. She certainly never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Counsel for the plaintiff argues that there was no reason for Zoic LA to draw up the description and not present it to her; it must have accurately reflected her role. I do not find that this is necessarily the only conclusion to draw from the circumstances. Mr. McBride testified repeatedly that this litigation has brought to the attention of Zoic Studios the necessity of documenting events, but that at the time Zoic was a "low paperwork type of company." It seems to me equally plausible that the document was drawn up, but no one ever bothered to show it to Ms. Gannon and discuss it with her. The company had just terminated Mr. Goux and may have wanted to give Ms. Gannon peace of mind. However, they were not a paperwork oriented company. It seems to me quite plausible that they never showed it to Ms. Gannon.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any event, as I stated, I believe Ms. Gannon when she says she had never seen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Even if Ms. Gannon had seen the job description, I do not find it particularly persuasive as evidence of her role as a fiduciary. For the sake of clarity in this discussion, I will provide her evidence on this issue verbatim: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first paragraph. Participate in key decision in conjunction with Los Angeles-based management team. Can I paraphrase, though, or do I need to read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Answer however you feel comfortable.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 I would agree with that. A. Per show and for project decision making, determine if show is presented for bids, production work, or appropriate -- no, I would have no basis for knowing what was appropriate for Zoic BC. I would not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Determine Zoic resources adequate for the needs of projects and -- and participating in scheduling those projects. I would agree. It was a joint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Budgets. Give input on price structure for projects, shots, or outsource work. I would agree only with one of those. I would give input on correct -- I'm sorry, I don't agree with any of it because correct price indicates that I had a determination on how much was going to be charged for each of those. My determinations in budgeting was mainly hours or days I thought it would take to complete a shot or project.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Number 2, maintain fiscal responsibility.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Artist management. Help recruit, interview, and hire talent. Yes, I did that, contributed to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contribute to the mentor -- mentorship and happiness of crews for all projects. Yes, that's important team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work with producers and coordinators to schedule artists for all projects. I don't agree with that. It was done in conjunction with L.A. and all projects leads -- well, I guess it specified Zoic BC, so, yes, I would help to schedule artists for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Host client walk-throughs to screen work and introduce the facility. I would agree with that only so far as it happened occasionally and I wasn't responsible for that solely.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Number 2, participate in developing and maintaining a cohesive sales effort in conjunction with the L.A. office. No, I -- I did not ever work in -- wasn't tasked with any sales efforts beyond normal client interaction and completing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Determine a best needs and practices approach for handling clients. I can't say one way or the other because I don't really know what that means. It's not very well defined.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Sales. Work with Los Angeles-based sales teams and management to land projects. Again, I wasn't really sales. My forte was when the projects would come and -- and completing the visual effects for that. I would help out with budgeting for prospective clients, but to land projects almost says to me cold sales calls and stuff, and that's not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Coordinate or execute, follow through with bids and presentations. I would agree but not in a context of sales. It was more in a context of generally completing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 effects supervising. Work on projects as a V effects supervisor when deemed necessary and appropriate. Yes, I would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Determine work flow and schedule pattern that suit the needs of the artists and clients. Again, that's too vague. I can't say one way or the other. Schedule is also -- to me, means post-production schedules, which I have nothing to do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Number 3, train, mentor other capable employees as future V effects sups. I would say no to that also. I would certainly train and mentor, as well as other artists training and mentoring me on occasion, because nobody knows it all. And "as future V effects sups" is way too specific. You are basically training and mentoring to be the best artists they can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Compositing. Depending on how busy the facility is, between 0 to 20 percent of your time on the box as a compositor. And that fluctuated a lot. So, yes, I would say that was part of my responsibility, although I wouldn't really agree with percentages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set up shots, look development, pipeline systems, new software testing, and training sessions for all compositors facility-wide.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attend all daily sessions to guide and take responsibility for the final look and delivery of shots. Again, no, I attended daily sessions when I could, but taking responsibility for the final look and delivery of shots, I wasn't the supervisor on every show in Zoic. A lot of the supervisors would -- were in L.A. or other supervisors in B.C. They had responsibility for the final look of shots and what was seen by the client. That wouldn't have been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Participate as a senior manager. Attend all meetings via iChat, conferencing, in person, or otherwise between L.A. and B.C. Again, I attended the meetings I was asked to. Zoic L.A. will check in with Patti and vice versa between meetings for any issues pressing. Well, yes, you do have to -- have to talk to each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liaise with Z[ed] [Zoic's engineering department] to map out, research, and implement new equipment purchases or rentals. No, wasn't my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Participate with employee write-ups for reviews. Yes, I did participate in -- in artist reviews but not producer reviews, and I was solely responsible just for the artists.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work in conjunction with existing and future designated B.C. managers, et cetera. Help source these important key hires. No, I wouldn't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Meet internally weekly to touch base on company issues, goals, and schedules. Of course there were meetings. They weren't always weekly. It was on a -- more on an as-needed basis. And again, I would -- oh, meet internally. I guess that's just B.C. Yes, we were talking all the time, so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 believe that's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Gannon did not agree that she was responsible for many aspects listed in the job description. Furthermore, as defence counsel points out, many key aspects of the job description do not give Ms. Gannon the discretion or authority to make major decisions that would affect the legal or financial interests of Zoic BC. She could, and did, participate or have input in "key" decisions, but the bulk of the authority lay with the managers of Zoic LA, as has been seen from the above-noted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Gannon also did not have authority in other key areas. I find that she did not have the authority to sign the lease for Zoic BC's office when it was originally set up. Mr. McBride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she -- in terms of her role at Zoic BC, she was not able to enter into contracts like leasing a premises without approval from 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wouldn't say that. If I -- if, for example, that was an area that she was interested in, I would have said, "Absolutely, Patti, you review the contract. If you've got any questions you want to talk to me about it, let's talk about it." If I wanted her to sign the contract, she could have. She was the chief executive of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I think my point was a bit narrower. I'm just -- I'm putting to you that she could not enter into contracts like a lease of premises without approval; isn't that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I would disagree with that. I just explained my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answer to that, which is if that was something she was interested in, then she could have. That was an area that I was generally responsible for, that was an area that I handled. But if that was something that she wanted to have more influence in or involvement in, we could have -- we could have worked that out. Again, in deference to Patti. That was -- we considered her the top person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difficulty in concluding that Zoic LA would have allowed Ms. Gannon to pick out Zoic BC's premises and enter into a lease without approval. This is particularly so as Mr. McBride admitted at his examination for discovery that Ms. Gannon did not have the authority to enter into "contracts like leasing of premises without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have an even harder time concluding that LA management would have given Ms. Gannon the authority to sign the lease if it was an area of interest to her. Ms. Gannon testified she did not have authority and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Also, I note the language used by Mr. McBride in this excerpt of his testimony. He states "If </w:t>
      </w:r>
      <w:r>
        <w:rPr>
          <w:rFonts w:ascii="arial" w:eastAsia="arial" w:hAnsi="arial" w:cs="arial"/>
          <w:b/>
          <w:color w:val="000000"/>
          <w:sz w:val="20"/>
          <w:u w:val="single"/>
          <w:lang w:val="en-US" w:eastAsia="en-US" w:bidi="ar-SA"/>
        </w:rPr>
        <w:t>I</w:t>
      </w:r>
      <w:r>
        <w:rPr>
          <w:rFonts w:ascii="arial" w:eastAsia="arial" w:hAnsi="arial" w:cs="arial"/>
          <w:color w:val="000000"/>
          <w:sz w:val="20"/>
          <w:lang w:val="en-US" w:eastAsia="en-US" w:bidi="ar-SA"/>
        </w:rPr>
        <w:t xml:space="preserve"> wanted her to sign the contract, she could have" (emphasis added). This, in my view, means she would have required approval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Also of note, Ms. Gannon testified that she did not have the authority to sign contracts for Zoic BC to provide visual effects to clients. I accept this evidence and I find it particularly significant. If Ms. Gannon did not have the authority to bind Zoic BC to provide the one and only service it was designed to provide, it is difficult to see how she could have guided the interests of Zoic BC in any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was no evidence that Ms. Gannon contributed to acquiring clients for Zoic BC. Ms. Gannon testified that she was not "tasked with sales efforts beyond normal client interaction and completing projects."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Gannon testified that she was involved in budgeting insofar as outlining the length of time it would take to complete each shot from the script. She states, and Mr. Mooney agrees, that she could not change the "seat rates" (daily rates) that were charged to a client. Mr. McBride needed to be consulted for any rate changes. This is indicative of the control Zoic LA maintained over the economic interests of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Additional evidence of this last point can be found in the spending limit imposed on Ms. Gannon by Zoic LA. A Zoic BC employee, Kevin Struckman, testified that while Ms. Gannon approved the purchase of software or software assets for Zoic BC, any purchases over a thousand dollars would require "full approval" from Zoic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for the plaintiff argued that an email loop involving several people, including Ms. Gannon, Mr. Gore and Mr. Mooney, showed the control and discretion that Ms. Gannon wielded over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email exchange involved the scheduling of artists who did not currently have work to keep them occupied. Visual effects for Eureka had reached a low point in the constant flux that encompasses this type of work. The concern was that the artists who wished to have paid work (as opposed to time off) would leave for other projects. Mr. Gore was involved in the exchange and offered his opinion on how the situation should be handled. He stated "If we need to keep people busy so we don't lose them Tim has to help make this work. Do you want me to call him or leave this among us to decide and we stand by each other when we get asked about it?" At this point Ms. Gannon emailed Mr. Mooney: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get Matt out of the loop on this. We can find Eureka shots to do ourselves. Just tell him never mind ... he can send his shit somewhere else then. And I do not want him calling Tim ... that's not cool.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Don't include him on emails like this in the future. He's a client, not a Zoic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Subsequent to her email, Mr. Gore sent another email regarding the issue. Ms. Gannon then sent another email to Mr. Mooney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GET HIM OUT OF THIS EMAIL LOOP. I DO NOT WANT HIM INVOLVED IN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Over several emails Mr. Mooney attempted to remove Mr. Gore from the conversation. Throughout those emails he made statements such as "why would you talk to Tim and not Patti who is the head of this studio?" and "Patti and I had a nice little argument over this. She won. She's the boss."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Gannon explained this exchange in her evidence. She says that she looked at it as a scheduling issue, something the producer did not need to be involved in at this point. She believed that the studio needed to first determine their needs on other projects before they discussed what tasks, if any, the artists would be given. (This explanation is mostly consistent with Mr. Mooney's view of the situation. In any case, as I noted earlier, I prefer Ms. Gannon's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do not agree this is necessarily evidence of anything more than a manager not wanting her co-worker to go over her head. Ms. Gannon appeared to believe the issue could be handled without the input of Mr. Gore or Mr. McBride. She thought further assessment of the circumstances needed to be made and email exchanges were not the most efficient way to resolve the issue. There was an issue and she wanted to resolve it in-house.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 is no dispute that Ms. Gannon was the boss of Zoic BC, but I am not of the view that this exchange is evidence of unbridled control. I am not persuaded this email advances the plaintiff's claim that Ms. Gannon was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Counsel for the plaintiff further argues that an incident involving another employee, Kevin Struckman, also demonstrates the scope of Ms. Gannon's discretion and authority. Mr. Struckman testified that he interviewed at Zoic BC on two occasions. The first occasion was with Mr. Mooney. He did not hear back about a job. Unhappy with his position at another studio, he followed up with Mr. Mooney sometime later. He went back to Zoic BC to interview again, this time with Ms. Gannon and Mr. Mooney. He then received a position. His evidence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During the 2008 summer, the vis effects industry kind of dried up in Vancouver, so I moved back to L.A. for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did you secure work back in Los Angeles?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With whom?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with a few companies, Zoic LA being one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Did you want to get back to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what became of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Towards the end of summertime, I kept looking for job offers up here, and pretty much then in end of August I came up here on vacation.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Did you have any discussions with Zoic 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Zoic LA, while I was there, they knew that I wanted to go back to Vancouver, and so they said I should get in contact with the management at the Zoic BC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Did you get in touch with Zoic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who did you contact?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contacted the management, their H.R. -- person who does the H.R., which was Patrick Mooney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what happened after you contacted Mr. Mooney?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 had -- he set up an interview with me to come in and meet some of the artists and do an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who was in that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 that interview was Patrick Mooney and one other CG artist who was one of the leads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Anybody else?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Was Ms. Gannon in that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she wasn't.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Were you expecting anything at the end of that interview?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interview went well, so I was kind of expecting to hear back from them on a job offer, because it seemed like they liked me and wanted to bring me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 not hear back from them, and I went back to L.A. after my vacation was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Mr. Mooney say anything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 said he would have to run everything past Patti first because she has final say on hires.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what did you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left -- I went back to Zoic LA and continued working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you came back to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Came back to Vancouver on a four-week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what happened while you were on that four-week contract with CIS?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While I was on that, I pretty much wasn't -- wasn't real happy working at CIS. I got in contact with Patrick again and he set up another interview, this time with Patti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Did Ms. Gannon attend an interview with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she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Two days later I was told that they wanted to work out a deal and hire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Did Los Angeles transfer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Mr. Mooney make an offer to you initially?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initially,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 All right. You got an offer after Ms. Gannon met with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Plaintiff's counsel argues that even after a recommendation from Zoic LA management, Mr. Struckman was not hired at Zoic BC until Ms. Gannon had met with him and given her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counsel's interpretation of Mr. Struckman's evidence interesting. I did not understand from his testimony that Zoic LA recommended him for a position in Zoic BC. It appears that Zoic LA told Mr. Struckman to contact Zoic BC for a job. There is no evidence anyone from that office recommended him. No witness from Zoic LA testified that Mr. Struckman received Zoic LA's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Admittedly, Zoic BC, through Ms. Gannon and Mr. Mooney, conducted its own interviews for potential employees. Zoic LA required Mr. Struckman to go through that process. On cross-examination, however, Mr. Struckman acknowledged that it was Mr. McBride who had the "overall approval." I simply cannot agree with the plaintiff's interpretation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argued that part of Ms. Gannon's control and discretion was that Zoic LA accepted most of her recommendations. One example testified to by both parties involves both Zoic studios changing over their compositing software from Shake to Nuke. None of the evidence on this point is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Mooney testified the changeover was done at the request of Ms. Gannon after she and other artists "were hearing the buzz" about the Nuke software. She tried it, loved it, and recommended it. Mr. McBride testified that both studios changed over their software as Ms. Gannon had advised Zoic LA "the artists in Vancouver knew this software better than a different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Gannon testified that she did not recommend any software change; the directive had come from LA. She states she was advised by the Zoic engineering department the change was made as Shake was no longer being supported as compositing software. In cross-examination, Mr. Mooney agreed this was true. However, he states that Zoic LA had purchased the source code for Shake to develop the product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noted, I prefer the evidence of Ms. Gannon. Additionally, no other witness, including the engineering department, supports Mr. Mooney's version that the source codes were purchased. I find as fact that Zoic LA chose to switch over compositing software. I do not agree that this is evidence of Ms. Gannon's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have found that Ms. Gannon did not have the ability to affect the economic interests of Zoic BC. However, as counsel for the plaintiff argues that vulnerability (the last characteristic of a fiduciary outlined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of the employer is a "key factor in determining that an individual holds a fiduciary status", I will address this last factor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Plaintiff's counsel says that Zoic BC was in a vulnerable position in relation to Ms. Gannon as she had the responsibility of retaining and satisfying both employees and clients. This was particularly important in relation to Mr. Gore and Eureka who were both integral to Zoic BC's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Counsel also says Ms. Gannon enjoyed limited oversight from Zoic LA, who rarely visited or checked in on her. Ms. Gannon had "unparalleled access to Zoic's confidential information and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All of these factors left Zoic BC vulnerable should she abuse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am not persuaded that Zoic BC was left in such a vulnerable position from the extent of Ms. Gannon's responsibilities that Ms. Gannon was in the role of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Most managers are responsible for the retention and happiness of employees and clients. That is not unique to Ms. Gannon's position. Yet, not all managers will be fiduciaries. I do not find that Ms. Gannon's responsibilities in this area left Zoic BC in a position of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Additionally, I find that Ms. Gannon's role with clients was not as involved as the plaintiff's witnesses indicate. Ms. Gannon testified, and I find, that she had occasional contact with clients while at Zoic BC. Ms. Gannon agreed she did a few client "walk-throughs", showing off the studio. However, Ms. Fiore would also fly up and host a walk-through or Mr. Mooney would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Gannon states that producers generally had the most contact with clients. This was supported to some extent by Mr. Struckman and Ms. Fiore who both note that producers often had daily contact with clients. I am not discounting that Ms. Gannon had a role to play as far as clients and client retention are concerned. She admitted this was the case. I simply do not believe that it rose to such a level that it would put Zoic BC in a vulnerable position should Ms. Gannon abuse her position. This seems much more likely to be the case with a producer.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find it interesting, as well, that Ms. Gannon was never asked to sign a non-solicitation or non-competition agreement. Mr. McBride testified that it was not part of Zoic's "operation." This, he says, showed that they viewed Ms. Gannon like "part of the family."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You don't -- you know, you might start a family business, you wouldn't think to go to your brother and have him sign a non-compete, non-solicit. We considered Patti part of the inner circle. She was part of the family. We try to run our company that way. It didn't cross our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problem with this assertion is that Zoic LA did require employees to sign non-disclosure agreements. In fact, Mr. McBride was surprised to learn that Ms. Gannon's employment file did not have a non-disclosure agreement in it. He said it "somehow ... got missed" as "all employees when they were put on payroll signed NDAs." Clearly, protecting the company from employee related issues was on the minds of Zoic LA management. They did ask the brothers and sisters of the company to sign documents to protect both Zoic studios in the future. I do not find that this is conclusive evidence that Zoic BC did not believe it was vulnerable to Ms. Gannon. I comment on it only to show that the plaintiff's witnesses appear to view Zoic BC as more vulnerable to Ms. Gannon in hindsight than it in fact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will address the issue of whether the information Ms. Gannon had access to was confidential in a later section of this decision relating to misuse of that information. I will say briefly here, though, that while some of the information is confidential it is not so unique, special or important that it places Ms. Gannon in the role of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also note that counsel for the plaintiff argues that the significant responsibilities entrusted to Ms. Gannon, along with the minimal oversight from Zoic LA left Zoic BC in a vulnerable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Zoic LA was located in a different country. Total oversight would have been difficult given the circumstances. In my view, however, LA management kept in place certain precautions to protect Zoic BC from being placed in a vulnerable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summary, I find that while Ms. Gannon was the top employee in Vancouver, her control and authority of the company was significantly limited by Zoic LA. She had the authority to hire and dismiss, but this was limited to transitional hires. She did not have any sort of authority that could affect the financial or legal interests of Zoic BC. She could not spend more than $1,000 without approval, she could not unilaterally change daily rates charged to clients. She could not contractually bind Zoic BC. Her position did not put Zoic BC in a vulnerable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do not doubt that Ms. Gannon was an important employee to both Zoic studios and that her opinion was valued and, more often than not, accepted. I also believe, however, that the management of Zoic LA kept enough power to ensure that Ms. Gannon could not steer the interests of Zoic BC. This is despite the minimal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 am aware that the court in </w:t>
      </w:r>
      <w:r>
        <w:rPr>
          <w:rFonts w:ascii="arial" w:eastAsia="arial" w:hAnsi="arial" w:cs="arial"/>
          <w:i/>
          <w:color w:val="000000"/>
          <w:sz w:val="20"/>
          <w:lang w:val="en-US" w:eastAsia="en-US" w:bidi="ar-SA"/>
        </w:rPr>
        <w:t>Procon</w:t>
      </w:r>
      <w:r>
        <w:rPr>
          <w:rFonts w:ascii="arial" w:eastAsia="arial" w:hAnsi="arial" w:cs="arial"/>
          <w:color w:val="000000"/>
          <w:sz w:val="20"/>
          <w:lang w:val="en-US" w:eastAsia="en-US" w:bidi="ar-SA"/>
        </w:rPr>
        <w:t>, a case cited by the plaintiff, found the defendant to be in a role of fiduciary despite the fact that he had oversight from head office. He had "substantial, although not total, authority for personnel decisions ... and substantial, although not total, authority to procure parts, equipment, and repairs": at para. 86. In that decision the court stated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While it is the case, as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that there were substantial management functions that Mr. McNeil did not perform, having regard to all the circumstances including the management functions he did perform, the fact that he was one of a small core of management, and the unique position he occupied managing the Nisku equipment center, I find that he was a fiduciary.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Having regard to all the circumstances in the case before me, including the management and other functions performed by Ms. Gannon, the scope of her authority, as well as the credibility of the witnesses, I cannot conclude that Ms. Gannon was a fiduciary. Her authority was simply too circumscribed to allow her to affect the interests of Zoic BC and management controlled approval of key decisions for Zoic BC and, thus, of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is unnecessary for me to address whether Ms. Gannon breached her duty or whether Mr. Adams was impressed with her duty by assisting her in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Duty of Fidelity, Good Faith and Loyalty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It is trite law that every employee owes his or her employer an implied contractual duty of fidelity, good faith and loyalty. The content of this duty was outlined by Fisher J. in </w:t>
      </w:r>
      <w:r>
        <w:rPr>
          <w:rFonts w:ascii="arial" w:eastAsia="arial" w:hAnsi="arial" w:cs="arial"/>
          <w:i/>
          <w:color w:val="000000"/>
          <w:sz w:val="20"/>
          <w:lang w:val="en-US" w:eastAsia="en-US" w:bidi="ar-SA"/>
        </w:rPr>
        <w:t>McMahon v. TCG International Inc.</w:t>
      </w:r>
      <w:r>
        <w:rPr>
          <w:rFonts w:ascii="arial" w:eastAsia="arial" w:hAnsi="arial" w:cs="arial"/>
          <w:color w:val="000000"/>
          <w:sz w:val="20"/>
          <w:lang w:val="en-US" w:eastAsia="en-US" w:bidi="ar-SA"/>
        </w:rPr>
        <w:t xml:space="preserve">, </w:t>
      </w:r>
      <w:hyperlink r:id="rId1125" w:history="1">
        <w:r>
          <w:rPr>
            <w:rFonts w:ascii="arial" w:eastAsia="arial" w:hAnsi="arial" w:cs="arial"/>
            <w:i/>
            <w:color w:val="0077CC"/>
            <w:sz w:val="20"/>
            <w:u w:val="single"/>
            <w:shd w:val="clear" w:color="auto" w:fill="FFFFFF"/>
            <w:lang w:val="en-US" w:eastAsia="en-US" w:bidi="ar-SA"/>
          </w:rPr>
          <w:t>2007 BCSC 1003</w:t>
        </w:r>
      </w:hyperlink>
      <w:r>
        <w:rPr>
          <w:rFonts w:ascii="arial" w:eastAsia="arial" w:hAnsi="arial" w:cs="arial"/>
          <w:color w:val="000000"/>
          <w:sz w:val="20"/>
          <w:lang w:val="en-US" w:eastAsia="en-US" w:bidi="ar-SA"/>
        </w:rPr>
        <w:t xml:space="preserve">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implied duty has been held to include the following:</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serve his employer faithfully;</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compete with his employer;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reveal confidential information;</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conceal from his employer facts which ought to be revealed;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full-time service to his employer.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Competition by an employee with his or her current employer will "in almost all cases constitute a breach of the duty of loyalty": </w:t>
      </w:r>
      <w:r>
        <w:rPr>
          <w:rFonts w:ascii="arial" w:eastAsia="arial" w:hAnsi="arial" w:cs="arial"/>
          <w:i/>
          <w:color w:val="000000"/>
          <w:sz w:val="20"/>
          <w:lang w:val="en-US" w:eastAsia="en-US" w:bidi="ar-SA"/>
        </w:rPr>
        <w:t>Restauronics Services Ltd. v. Nicolas</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2004 BCCA 130</w:t>
        </w:r>
      </w:hyperlink>
      <w:r>
        <w:rPr>
          <w:rFonts w:ascii="arial" w:eastAsia="arial" w:hAnsi="arial" w:cs="arial"/>
          <w:color w:val="000000"/>
          <w:sz w:val="20"/>
          <w:lang w:val="en-US" w:eastAsia="en-US" w:bidi="ar-SA"/>
        </w:rPr>
        <w:t xml:space="preserve"> at para. 48. However, as the court in </w:t>
      </w:r>
      <w:r>
        <w:rPr>
          <w:rFonts w:ascii="arial" w:eastAsia="arial" w:hAnsi="arial" w:cs="arial"/>
          <w:i/>
          <w:color w:val="000000"/>
          <w:sz w:val="20"/>
          <w:lang w:val="en-US" w:eastAsia="en-US" w:bidi="ar-SA"/>
        </w:rPr>
        <w:t>Restauronics</w:t>
      </w:r>
      <w:r>
        <w:rPr>
          <w:rFonts w:ascii="arial" w:eastAsia="arial" w:hAnsi="arial" w:cs="arial"/>
          <w:color w:val="000000"/>
          <w:sz w:val="20"/>
          <w:lang w:val="en-US" w:eastAsia="en-US" w:bidi="ar-SA"/>
        </w:rPr>
        <w:t xml:space="preserve"> notes, it is not always clear when an employee's actions reach a level of competition. Peter Barnacle et al., </w:t>
      </w:r>
      <w:r>
        <w:rPr>
          <w:rFonts w:ascii="arial" w:eastAsia="arial" w:hAnsi="arial" w:cs="arial"/>
          <w:i/>
          <w:color w:val="000000"/>
          <w:sz w:val="20"/>
          <w:lang w:val="en-US" w:eastAsia="en-US" w:bidi="ar-SA"/>
        </w:rPr>
        <w:t>Employment Law in Canada</w:t>
      </w:r>
      <w:r>
        <w:rPr>
          <w:rFonts w:ascii="arial" w:eastAsia="arial" w:hAnsi="arial" w:cs="arial"/>
          <w:color w:val="000000"/>
          <w:sz w:val="20"/>
          <w:lang w:val="en-US" w:eastAsia="en-US" w:bidi="ar-SA"/>
        </w:rPr>
        <w:t>, 4th ed. vol. 2, (loose-leaf updated June 2012, release 38) Markham: LexisNexis Canada Inc., 2005, discussed this distinction concisely at s. 11.137:</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11.137 Difficulties have arisen in determining the exact point at which planning and preparation by an employee who is still employed to set up himself or herself in competition with the employer will violate his or her implied duty of fidelity. ... After all, if it is lawful for an employee to engage in post-termination competition with an employer, it hardly makes sense to hold it unlawful to plan the form that such competition will take. In more recent decisions on point, the courts have held that merely planning to establish a competing business does not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violate the duty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Restauronics</w:t>
      </w:r>
      <w:r>
        <w:rPr>
          <w:rFonts w:ascii="arial" w:eastAsia="arial" w:hAnsi="arial" w:cs="arial"/>
          <w:color w:val="000000"/>
          <w:sz w:val="20"/>
          <w:lang w:val="en-US" w:eastAsia="en-US" w:bidi="ar-SA"/>
        </w:rPr>
        <w:t>,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her dissent in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SCC, Abella J. stated her view on planning future employment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 It seems to me that a necessary corollary to an employee's undisputed right to compete following the termination of the employment relationship is the right to plan for future employment opportunities while still employed. This is subject, of course, to the duty not to breach an employer's confidentiality. But it is not, in my view, a breach of an employee's implied duty of good faith to search for alternative job opportunities, to negotiate with a competitor, or to talk to co-workers about his or her intentions.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Employment Law in Canada</w:t>
      </w:r>
      <w:r>
        <w:rPr>
          <w:rFonts w:ascii="arial" w:eastAsia="arial" w:hAnsi="arial" w:cs="arial"/>
          <w:color w:val="000000"/>
          <w:sz w:val="20"/>
          <w:lang w:val="en-US" w:eastAsia="en-US" w:bidi="ar-SA"/>
        </w:rPr>
        <w:t>, at s. 11.137.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Misuse of confidential information before or after an employee leaves his/her employment is also a breach of the duty of fidelity, as well as an independent wrong: </w:t>
      </w:r>
      <w:r>
        <w:rPr>
          <w:rFonts w:ascii="arial" w:eastAsia="arial" w:hAnsi="arial" w:cs="arial"/>
          <w:i/>
          <w:color w:val="000000"/>
          <w:sz w:val="20"/>
          <w:lang w:val="en-US" w:eastAsia="en-US" w:bidi="ar-SA"/>
        </w:rPr>
        <w:t>Cinema Internet Networks Inc v. Porter et al,</w:t>
      </w:r>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2006 BCSC 1843</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Employment Law in Canada</w:t>
      </w:r>
      <w:r>
        <w:rPr>
          <w:rFonts w:ascii="arial" w:eastAsia="arial" w:hAnsi="arial" w:cs="arial"/>
          <w:color w:val="000000"/>
          <w:sz w:val="20"/>
          <w:lang w:val="en-US" w:eastAsia="en-US" w:bidi="ar-SA"/>
        </w:rPr>
        <w:t>, at s. 11.142.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argues that Ms. Gannon and Mr. Adams violated their duty of fidelity, good faith and loyalty to Zoic BC. The argument is that Ms. Gannon violated this duty by not disclosing Mr. Gore's intentions to bring Eureka elsewhere for season 4; not making an effort to retain Mr. Gore, Eureka or Mr. Adams; securing Eureka as a client for Leviathan; not advising Zoic LA of Mr. Adams's, and later Leviathan's, intent to work on Eureka; taking and using information from Zoic BC's hard drives to ensure a seamless transition for Leviathan to provide work for Eureka and soliciting Nate Holroyd and Mary Jane Bolton to work for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plaintiff's argument in relation to Mr. Adams is that he was involved in taking and using the hard drives from Zoic BC. It also argues that he worked on a three-dimensional image of the Global Dynamics building for Eureka while still at Zoic BC. The plaintiff states that Mr. Gore had asked Mr. Adams to construct the building as a way to assess Mr. Adam's work. Mr. Gore would then show the material to GEP Productions. Thus, Mr. Adams was using his work to solicit Eureka as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deny that either personal defendant's conduct amounts to a breach of the duty of fidelity, good faith and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Gannon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It is clear to me that on the evidence before this Court, Ms. Gannon breached her duty of fidelity, good faith and loyalty to Zoic BC. In my view, her conduct while she was still employed by Zoic BC went beyond mere planning to establish a competing business; she competed while she was still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submits that by October 2009, Ms. Gannon and Mr. Adams were planning on leaving Zoic BC to start their own company. The plaintiff says that at this time, Ms. Gannon and Mr. Adams were hoping to bring Eureka on as a client. I do not accept that planning to start a company and hoping to bring on Eureka as a client amounts to anything more than mere planning. Ms. Gannon and Mr. Adams had not approached Eureka to solicit its business. There had been a mention from Mr. Gore that Eureka would not be returning to Zoic BC for season 4 and that he wished Ms. Gannon and Mr. Adams to be involved. This certainly does not amount to competing with Zoic BC. I find this to be mere planning. An employee is, as indicated by Abella J., entitled to plan for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Much of Ms. Gannon's conduct was mere planning. Setting up an email account with Leviathan's name is not, in my view, competing with Zoic BC. Likewise, incorporating Leviathan, purchasing visual effects equipment, making plans to set up Leviathan and searching for rental space are all mere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There was a dispute over when Ms. Gannon and Mr. Adams started purchasing or began researching the purchase of computer equipment. There is an email from Jake Warken, Mr. Adams's roommate, dated October 30, 2009. Mr. Warken sells, or did at the time at least, computer hardware for Koios Systems. He stated in the email "After last night I'm pretty jacked up to look at setting up Leviathan ... as an HP/cisco/BlueArc shop." Both Ms. Gannon and Mr. Adams deny they were contemplating purchasing equipment at this time. Ms. Gannon testified she was not even at the "last night" referred to in the email. Mr. Adams says the two friends were probably "daydreaming about fun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Gannon states that Leviathan did not purchase any computer equipment until late March or early April. I accept her version of events as described. I find that it is likely Mr. Adams and Mr. Warken discussed the equipment that Leviathan would need to set up shop, but that there were no serious plans to purchase equipment at the time of the email. It does appear, based on emails from February 2010, that more serious consideration and research was being done to purchase equipment at that time. I accept that Leviathan did not purchase the equipment until after Ms. Gannon had left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any case, I do not find it particularly important when the defendants contemplated the purchase of equipment or when the equipment was actually purchased. I do not find either of these acts fall within the rubric of competition with Zoic BC, even if done by a current employee. They are mere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Counsel for the plaintiff also attempted to establish that in fact Leviathan was negotiating to lease a studio around February 15, well before March 11, 2010, when a lease was actually signed. Again, even if true, this is mere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Support for this position can be found in </w:t>
      </w:r>
      <w:r>
        <w:rPr>
          <w:rFonts w:ascii="arial" w:eastAsia="arial" w:hAnsi="arial" w:cs="arial"/>
          <w:i/>
          <w:color w:val="000000"/>
          <w:sz w:val="20"/>
          <w:lang w:val="en-US" w:eastAsia="en-US" w:bidi="ar-SA"/>
        </w:rPr>
        <w:t>Aquafor v. Whyte, Dainty and Calder</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2010 ONSC 2733</w:t>
        </w:r>
      </w:hyperlink>
      <w:r>
        <w:rPr>
          <w:rFonts w:ascii="arial" w:eastAsia="arial" w:hAnsi="arial" w:cs="arial"/>
          <w:color w:val="000000"/>
          <w:sz w:val="20"/>
          <w:lang w:val="en-US" w:eastAsia="en-US" w:bidi="ar-SA"/>
        </w:rPr>
        <w:t xml:space="preserve"> (CanLII). While the court here was determining whether the personal defendants had breached a fiduciary duty, it discussed what constituted "mere planning." Three engineers who were employed by the plaintiff had leased a premises, commenced building improvements and prepared a business plan in order to establish a new engineering firm. After resigning, but while still employed, they incorporated their company, registered a domain name and applied for the proper authorization certificate. They also advertised for an office assistant. The court found this to be mere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Ms. Gannon's case, mere planning turned into competition with Zoic BC when Leviathan signed a contract with GEP Productions on February 17, 2010, for work on Eureka season 4. While the contract was signed on behalf of Leviathan by Mr. Adams, Ms. Gannon became an officer and director of Leviathan when it was incorporated on February 22. She was still employed by Zoic BC until March 4, 2010. Certainly, by February 22 at the latest Ms. Gannon was in competition with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These facts are analogous to </w:t>
      </w:r>
      <w:r>
        <w:rPr>
          <w:rFonts w:ascii="arial" w:eastAsia="arial" w:hAnsi="arial" w:cs="arial"/>
          <w:i/>
          <w:color w:val="000000"/>
          <w:sz w:val="20"/>
          <w:lang w:val="en-US" w:eastAsia="en-US" w:bidi="ar-SA"/>
        </w:rPr>
        <w:t>Restauronics</w:t>
      </w:r>
      <w:r>
        <w:rPr>
          <w:rFonts w:ascii="arial" w:eastAsia="arial" w:hAnsi="arial" w:cs="arial"/>
          <w:color w:val="000000"/>
          <w:sz w:val="20"/>
          <w:lang w:val="en-US" w:eastAsia="en-US" w:bidi="ar-SA"/>
        </w:rPr>
        <w:t>. In that case, the plaintiff company had given the defendant two months' notice of termination of her employment. Two weeks before her term of notice ended, the defendant bid on and received a contract from a client that had formerly been her employer's client. The court found this "went beyond preparation":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Counsel for Ms. Gannon argues that it is not competing for Leviathan to sign a contract for "unspecified amounts of work." I disagree. Once Leviathan signed that contract, the opportunity for Zoic BC to provide visual effects for Eureka was diminished. Zoic BC was no longer in the position it had been in the previous three seasons to provide all of the visual effects to Eureka, contracting out only the work it felt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Furthermore, the visual effects done for Eureka comprised a large portion of Zoic BC's business. Eureka was Zoic BC's largest client. The agreement of Ms. Gannon's company to provide visual effects of any quantity for Eureka put it in competition with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any case, even if an unspecified amount of work did not amount to competition, the work became specified on February 25, 2010. On that date, NBC Universal (the parent company of GEP Productions) approved an asset list for Leviathan's work on Eureka. The list sets out a description of the visual effects projects that Leviathan was approved to work on for Eureka and the amount to be paid for each asset. For this reason alone, the defendants'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argues that Ms. Gannon was involved in conduct in January and February of 2010 that would amount to competition. This conduct included conversations with Steven Welke of GEP Productions regarding the amount of bandwidth and storage he would require to send the visual effects from Vancouver to Los Angeles for season 4. Ms. Gannon sent him an email regarding this matter on February 25, 2010, through her Leviathan email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Gannon was also discussing input/output for season 4 with Mr. Gore by emails dated February 16, 2010, also through her Leviathan address. She admitted that conversations with Mr. Gore and Mr. Welke had taken place previous to the emails. She states though that the issues discussed did not necessarily have anything to do with visual effects. Furthermore, she was not paid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Having found that Ms. Gannon was in competition with Zoic BC at the latest by February 22, 2010, it is unnecessary for me to determine whether these acts, which occurred slightly before and slightly after this date, amount to competition.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Adams was not in the same position as Ms. Gannon. By the time the contract was signed by him in February 2010 he had resigned from Zoic BC. For this reason, he did not compete with Zoic BC in the same manner that Ms. Gannon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however, argues that Mr. Adams breached his duty of fidelity by competing with Zoic BC in January, prior to leaving. It says during that time Mr. Adams used Zoic BC's systems to create 11 different versions of a three dimensional image of the Global Dynamics building. (Global Dynamics was the fictional company that many of the residents of Eureka, Oregon worked for.) The plaintiff says Mr. Adams used the image to solicit work from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Adams admits that he worked on a three dimensional image of the Global Dynamics building in January of 2010 (the Zoic image). He testified that Mr. Gore asked him to as "kind of a see-what-you've-got-kid kind of thing." No one from either Zoic studio gave him instructions to draft the image. He used Zoic BC's software to compose the image, however, the work was done in his spare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Adams states that he worked on the image for about 16 hours, but notes it was akin to a "napkin doodle." The model was labelled "work in progress", however, it was also stamped "Leviathan Studios." It never appeared on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What did appear on Eureka was a completed Global Dynamics building model that Mr. Adams started in March or April of 2010. It took 250 to 300 hours to complete (the Leviathan image).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Adams testified that he gave the Zoic image to Mr. Gore as a presentation of his work. He acknowledges that his hope was Mr. Gore would show the image to GEP Productions and this would assist with Leviathan getting work for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Gore states that he recalls asking Mr. Adams to render the model. It was a "show ... [me] what you can do kid kind of thing." He does not remember whether he sent the image to GEP Productions. He states the creation of the model did not play a role in the decision to award the contract for Eureka to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agree with the plaintiff that Mr. Adams was competing with Zoic BC while employed by it. He may have constructed the Global Dynamics model on his own time, but he still used company resources to compose it. He then provided it to Mr. Gore, whom he knew would be influential in determining who Eureka contracted with for its visual effects for season 4. He knew he was leaving Zoic BC to pursue outside work and he hoped that outside work included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However, I note the work done on the image - a total of 16 hours - was minimal. Any damages suffered, should causation be proved, are also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argue that neither Mr. Adams, nor Ms. Gannon ever had an intention to compete with Zoic BC. They say that they understood that under no circumstances was Eureka returning to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do not find that it is relevant whether the defendants intended to compete. The fact is that they did. Ms. Gannon's company agreed to work for a former client of her current employer. Mr. Adams used company resources to work on a project hoping to enhance his position with his employer's former client and to obtain future business. While I believe that they knew Eureka would not return to Zoic BC, in my view that is not a relevant consideration as to whether they competed while still employed.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Gannon through Mr.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Plaintiff's counsel also asserts that Leviathan, through Mr. Adams, was working on the Global Dynamics building model - the Leviathan image - in February 2010. This was before Ms. Gannon resigned; therefore, her company was competing with Zoic BC through this conduct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do not find that Zoic BC has established that this was the case. Its assertion is that Mr. Adams admitted he was working on this model in February 2010. I do not agree that Mr. Adams admitted this. The exchange between counsel for the plaintiff and Mr. Adams went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You would agree with me that you were doing work on the Global Dynamics asset in the month of February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for the benefit of Leviathan?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Ms. Gannon knew about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 was aware.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ultimately Leviathan was paid $32,000 for that asset?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for that asset, for the one we had built for Season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 and you started -- you were working on the one for Season 4 during the month of February?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that was a spec piece. That was not the same asset.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resigned from Zoic January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you worked on a Global Dynamics asset in the month of February?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worked on one,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is it your evidence you started it anew?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We used the initial one I showed to you and next we started on the -- the official version and I said here's something for scale reference and that's -- and he said don't bother worrying about these negatives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just start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whether or not the work you did in January was the basis for the February work, in other words it was enhanced and refined, or whether or not it was used as a reference for Nick to work on, you'd agree with me that in the month of February, 2010, Leviathan was doing work on that asset that eventually appeared in Season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working on a version of that for Matt.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then I guess showed it to [indiscernible] here's an early thing, have a look at it. He said okay, cool, 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so I went off and started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the month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the official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the month of February?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no, no, this is farther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ultimately the work that Leviathan did on the Global Dynamics asset you were paid $32,000?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what it says here. I don't know if that changed or not. I'm not the budget guy, so I couldn't say for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It seems about right, though?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think it's probably ended up putting -- I think we were a little bit upside on it by the end. We put so much time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may have put more time in, but in terms of the revenue that you got it was about 32 grand?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would have been at least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maybe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Initially, it appears Mr. Adams admits to working in February 2010 on the asset that appeared in season 4. If the exchange had ended at this point, I would accept this as fact. However, when asked if Leviathan was paid $32,000 for the asset (the amount outlined in the asset list for the Global Dynamics model), Mr. Adams replies "Not for that asset, for the one we had built for Season 4." Mr. Adams was clearly confused about which version of the model (the Zoic image or the Leviathan image) he was being asked about previously. This is also apparent from his answers to counsel's subsequent questions about the work in February. He states it was a "spec piece" and "a version for Matt." In my view, Mr. Adams believed he was answering questions about the Zoic image when asked about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Adams clarifies his answers towards the end of the exchange. At that time he plainly states he was not working on the Leviathan image in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cannot find that this exchange establishes Mr. Adams worked on the image that Leviathan was ultimately paid for by GEP Productions while Ms. Gannon was still employed. In fact, if anything, it establishes that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note that plaintiff's counsel put NBC's approved asset list to Mr. Adams in support of his contention that Mr. Adams worked on the Global Dynamics model in February. The description under that heading reads "</w:t>
      </w:r>
      <w:r>
        <w:rPr>
          <w:rFonts w:ascii="arial" w:eastAsia="arial" w:hAnsi="arial" w:cs="arial"/>
          <w:color w:val="000000"/>
          <w:sz w:val="20"/>
          <w:u w:val="single"/>
          <w:lang w:val="en-US" w:eastAsia="en-US" w:bidi="ar-SA"/>
        </w:rPr>
        <w:t>Continue</w:t>
      </w:r>
      <w:r>
        <w:rPr>
          <w:rFonts w:ascii="arial" w:eastAsia="arial" w:hAnsi="arial" w:cs="arial"/>
          <w:color w:val="000000"/>
          <w:sz w:val="20"/>
          <w:lang w:val="en-US" w:eastAsia="en-US" w:bidi="ar-SA"/>
        </w:rPr>
        <w:t xml:space="preserve"> to move forward and finish a 3D photo real version of Global Dynamics (including landscaping and satellite dishes) to be used for act ins and outs"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Counsel emphasised the "continue", stating that it must mean something had been produced on the asset by February 25, 2010, the date of the approved asset list. Mr. Adams replied that Mr. Gore put together the asset list and he did not know why it would say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accept that it is possible Mr. Gore used "continue" for any number of reasons. Mr. Gore may not have been aware what work Mr. Adams had or had not started by this time. I do not find that the use of that word here establishes that Mr. Adams had commenced working on the Global Dynamics model for season 4 by February 25, 2010. In his direct examination, Mr. Adams states he believes work started in March or April. I accept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Failing to Disclose Information and Failing to Retain Employees and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argues that Ms. Gannon breached her duty of fidelity by not informing Zoic LA of Mr. Gore's and Eureka's intention to leave Zoic BC. She was also in breach by failing to take steps to retain Mr. Gore and Mr. Adams as employees and Eureka as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points out that Ms. Gannon admitted in her examination for discovery that it was her responsibility to retain employees and to ensure that clients were happy with Zoic BC's service. The plaintiff says it is clear from the evidence that Ms. Gannon knew as early as October 2009 that Mr. Gore and Eureka were not returning to Zoic BC for season 4. She did nothing to stop this or to inform Zoic LA so they could address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She also did nothing to retain Mr. Adams as an employee or to advise Zoic LA he was leaving to work on Eureka for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defendants submit that Zoic LA management was aware that Mr. Gore was unhappy. They say that the concerns Mr. Gore brought to their attention after he advised them on February 23, 2010 he and Eureka were leaving were the same concerns he had expressed throughout his time with Zoic BC. The law, they say, is clear that where the employer is aware a client or employee is unhappy and does not act to address those concerns, there is no breach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defendants argue that Mr. Gore had repeatedly expressed frustration to Zoic LA over having to get approval for budgets, actuals and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They also point to a meeting between Mr. Gore, Mr. McBride and Mr. Jones to show that Zoic LA was aware of Mr. Gore's unhappiness. The meeting involved a discussion of the parking tickets issue, as well as the issue of the failure of Zoic LA to provide a CG lead for the start of season 3 of Eureka. The exact date of the meeting is unclear to me, although it was sometime during season 3 and was after July 30, 2008, the date on which Mr. Gore expressed his anger over the tickets to Zoic LA by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Gore met with Mr. McBride and Mr. Jones. Mr. Gore testified when he discussed the issue about the lack of a CG lead, Mr. Jones asked him if he was calling Mr. McBride a liar. My understanding of the context of the comment was that Mr. Gore had indicated that he did not believe that Zoic LA had done all that it could to get a CG lead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Gore also testified that he expressed his frustration over the parking tickets in the meeting. He states that Mr. Jones looked at him and said "perhaps we should not continue working together" and "this might be a good time for us to part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McBride testified that Mr. Jones was "trying to kind of dial down the emotions" with his comments. Zoic LA never thought, he says, "in any way, shape or form" that Mr. Gore would actually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defendants also argue that Ms. Gannon believed that Zoic LA was already aware that Mr. Gore was unhappy and wanted to leave. Furthermore, the issues Mr. Gore had pertaining to budgets, rates and actuals were beyond her authority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agree that by October of 2009, Ms. Gannon knew that Mr. Gore was planning on leaving Zoic BC and failed to tell Zoic LA management. She admitted as much in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Had you had any conversations with Matt with respect to whether or not </w:t>
      </w:r>
      <w:r>
        <w:rPr>
          <w:rFonts w:ascii="arial" w:eastAsia="arial" w:hAnsi="arial" w:cs="arial"/>
          <w:i/>
          <w:color w:val="000000"/>
          <w:sz w:val="20"/>
          <w:lang w:val="en-US" w:eastAsia="en-US" w:bidi="ar-SA"/>
        </w:rPr>
        <w:t>Eureka</w:t>
      </w:r>
      <w:r>
        <w:rPr>
          <w:rFonts w:ascii="arial" w:eastAsia="arial" w:hAnsi="arial" w:cs="arial"/>
          <w:color w:val="000000"/>
          <w:sz w:val="20"/>
          <w:lang w:val="en-US" w:eastAsia="en-US" w:bidi="ar-SA"/>
        </w:rPr>
        <w:t xml:space="preserve"> might return to Zoic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 had mentioned that he did not plan to -- for the show to return to Zoic.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tell anyone at Zoic BC or Zoic LA that Mr. Gore was thinking about not returning to Zoic BC for Season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Was there any reason for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Based -- by this date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October 25th, I thought they already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There are, then, two issues that arise under this heading. The first is whether Ms. Gannon is in a breach of her duty of good faith for failing to advise Zoic LA that Mr. Gore and Eureka were leaving. The second is whether Ms. Gannon breached her duty for failing to try to retain Mr. Gore, Mr. Adams and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regard to the issue of disclosure of information, the test is laid out in </w:t>
      </w:r>
      <w:r>
        <w:rPr>
          <w:rFonts w:ascii="arial" w:eastAsia="arial" w:hAnsi="arial" w:cs="arial"/>
          <w:i/>
          <w:color w:val="000000"/>
          <w:sz w:val="20"/>
          <w:lang w:val="en-US" w:eastAsia="en-US" w:bidi="ar-SA"/>
        </w:rPr>
        <w:t>McMahon</w:t>
      </w:r>
      <w:r>
        <w:rPr>
          <w:rFonts w:ascii="arial" w:eastAsia="arial" w:hAnsi="arial" w:cs="arial"/>
          <w:color w:val="000000"/>
          <w:sz w:val="20"/>
          <w:lang w:val="en-US" w:eastAsia="en-US" w:bidi="ar-SA"/>
        </w:rPr>
        <w:t xml:space="preserve"> at para. 107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 The determination [of whether a failure to disclose is a breach of the duty] will depend on the circumstances, such as the seniority and responsibility of the employee, the nature of the information and its importance to the employer, and ultimately, whether the failure to disclose gave rise to a breakdown in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defendants have not argued that Ms. Gannon was not the type of employee that would be required to disclose that Mr. Gore and Eureka were not returning for season 4. It is a fact that is hard to deny. Furthermore, I do not believe there can be any doubt that the information was of great importance to Zoic LA. Mr. Gore and Eureka were both significant components to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only question is whether Zoic LA was already aware that Mr. Gore was unhappy or that he and Eureka were not returning.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clear that Zoic LA knew that Mr. Gore was frustrated. They had a meeting about it with him. It is also, in my view, clear that Zoic LA understood that if Mr. Gore left he would take Eureka with him. Management understood Mr. Gore's relationship with Eureka and Mr. Gore had advised them on several occasions that he had been asked to take the show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McBride explained that Zoic LA thought Mr. Gore was just emphasizing his worth in order to obtain a better bargaining position when he made such statements. I agree that he likely was. However, I also find that management would have been put on alert to some extent that Eureka was not satisfied with the work. It was their own mistake if they completely dismissed Mr. Gore's assertions as part of his negotiating 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If Mr. Gore's negotiating stance did not alert LA management to his issues with them, the meeting with him certainly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find Mr. McBride's explanation for Mr. Jones's comments in the meeting to be unconvincing. It seems to me that if Mr. Jones were attempting to diffuse a situation where emotions were "heating up a little bit", the comments he made would not be the way to go about it. As well, after this meeting I do not believe that LA management can claim they were not aware of Mr. Gore's dissatisfaction.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do not find, however, that management was aware that Mr. Gore's unhappiness had reached a level where he had made the decision to not return to Zoic BC with Eureka for season 4. Nor do I find that Ms. Gannon would have been relieved of her duty to disclose the material information on the basis she believed Zoic LA already knew. That is not a statement that an employee could never be relieved of a duty to disclose on the basis that his or her employer already knew the information. However, in the circumstances here, Ms. Gannon's awareness that Mr. Gore had expressed frustration to Zoic LA, and her conversations with Ms. Branan in that regard, are not enough to relieve her of this duty. There is no indication that Zoic LA was aware that Mr. Gore or Eureka had made the decision to leave. As a managing employee, this would be information she would want to ensure Zoic LA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find that Ms. Gannon should have advised Zoic LA management that Mr. Gore was not returning for season 4 with Eureka. Her failure to do so was a breach of her duty of fidelity, good faith and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regard to the plaintiff's argument that Ms. Gannon should have attempted to retain Mr. Gore, Mr. Adams and Eureka, the Supreme Court of Canada's decision in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xml:space="preserve">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majority of the Court upheld the trial decision which found the manager of the Cranbrook branch of RBC breached his duty of good faith by failing to retain the employees of RBC; this responsibility was implied in his contract, as he admitted at trial: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Ms. Gannon admitted both that she did not attempt to retain Mr. Gore (who I find was an employee of Zoic BC by this time) or Mr. Adams and that she had the responsibility to do so. For this reason, I find that Ms. Gannon did breach her duty of fidelity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Ms. Gannon also admitted to having the responsibility of keeping clients happy. However, she was not the main point of contact with GEP. Talking with GEP to ensure they returned their business to Zoic BC for the fourth season would have been beyond the scope of Ms. Gannon's responsibilities. Her obligation was to tell Zoic LA about Mr. Gore's departure and it was up to them to hold discussions with GEP to ensure Eureka's return. I do not find that Ms. Gannon breached her duty for failing to attempt to retain Eureka for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Soliciting Employees to Work for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also argues that Ms. Gannon was in breach of her duty of good faith by soliciting Mary Jane Bolton and Nate Holroyd, two Zoic BC employees, away from Zoic BC for employment at Leviathan.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says that by March 9, 2010, both Mr. Holroyd and Ms. Bolton had telephone numbers at Leviathan. It says Mr. Holroyd's last day of work at Zoic BC was March 15. It did not say when Ms. Bolton's last day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defendants say that Ms. Gannon did not approach Ms. Bolton or Mr. Holroyd to work at Leviathan while they were still employed at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Holroyd testified that he had decided to leave Zoic BC in late 2009 after being denied a raise. He began looking for other work at that time. In fact, Zoic BC knew Mr. Holroyd was looking for work as he had confided this to another employee, David Langtry. Mr. Langtry told Mr. Mooney, who had a sit-down with Mr. Holroyd. After being asked to supervise a carpet installation in late January 2010, Mr. Holroyd decided to give notice. He says he did so on the last Friday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Holroyd says his work ended at Zoic BC in the first couple days of March. He was then offered a job by Ms. Gannon the first weekend after he finished. He started at Leviathan the week after. His deal memo with Leviathan is dated March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Holroyd agrees that after he started at Leviathan he did a few "set days" for Zoic BC on the TV show V. He did not work on V after March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Mooney agrees Mr. Holroyd gave notice in late January 2010. He states it was January 29th. He testified Mr. Holroyd continued with Zoic BC until March 15. He says he requested Mr. Holroyd give Zoic BC time to find a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do not accept that Ms. Gannon solicited Mr. Holroyd from Zoic BC. Mr. Holroyd was looking for work well before Ms. Gannon asked him to work for Leviathan. In fact, he was looking for work in late 2009 before Leviathan even existed. Furthermore, Mr. Holroyd had given his notice to Zoic BC in late January. The plaintiff simply has not established that Ms. Gannon or any of the defendants influenced Mr. Holroyd's decision to leave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my view, it is of little consequence that Mr. Holroyd was employed by both Zoic BC and Leviathan for a portion of March. He had given his notice to Zoic BC, but stayed to finish up certain projects as a favour to it. This does not lend support to Ms. Gannon having solicited him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Furthermore, the telephone number for Mr. Holroyd at Leviathan referred to by the plaintiff to support its position was Mr. Holroyd's cell 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Bolton did not give evidence. Information regarding her employment at Zoic BC was given by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Mooney states Ms. Bolton gave notice on February 6 or 9, 2010. Her last day was February 26. Ms. Bolton commenced working at Leviathan on March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Gore testified that Ms. Bolton "knew she had a job" with him as long as he worked on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my view, the plaintiff has not established that Ms. Gannon, or any defendant, solicited Ms. Bolton away from Zoic BC. There is, simply, no evidence to support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Plaintiff's counsel examined Ms. Gannon on an email from Mr. Gore to her dated February 25. It mentions budgeting "some money for Nate and M.J. [Mary Jane Bolton]." Ms. Gannon admitted Mr. Holroyd and Ms. Bolton wanted to work on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my view, this again does not support that Ms. Gannon solicited Ms. Bolton. Ms. Bolton had already given Zoic BC notice. Ms. Bolton's last day at Zoic BC would have been the day after the email was written. The email does not indicate that Ms. Bolton (or Mr. Holroyd) had been asked to work for Leviathan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plaintiff also claims that Ms. Gannon actively recruited Mr. Gore and Mr. Adams away from Zoic BC. While I agree she did not attempt to retain either of them, I do not find that she actively recruited them. Mr. Gore had already made the decision to leave Zoic BC. I will discuss this further below, under causation. Mr. Adams, as well, expressed that he was not happy at Zoic BC and was thinking of moving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of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plaintiff has two claims in regard to the misuse of confidential information. Firstly, it says Ms. Gannon and Mr. Adams misused confidential information and, therefore, breached their duty of good faith and fidelity. Secondly, it says all of the defendants misused Zoic's confidential information and, therefore, breached their duty of confidentiality. For the sake of efficiency, I will deal with both of these claims under this heading. I recognize, however, that a breach of confidence is its own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defendants argue the information used by them does not constitute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allegations of misuse of confidential information surround hard drives containing Eureka digital material, as well as other Zoic BC material that will be discussed in further detail below. The plaintiff claims that in December 2009 Ms. Gannon asked Mr. Langtry to "unarchive" all digital material pertaining to Eureka. He did so. Ms. Gannon transferred the material onto hard drives, which she then took with her for Leviathan. This allowed the defendants a "seamless" transition when they secured Eureka as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Plaintiff's counsel sent the defendants a letter dated April 23, 2010, demanding the return of the hard drives. The defendants returned three hard drives.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By letter from their former counsel dated April 28, 2010, the defendants claimed that Ms. Gannon copied the material at the request of Mr. Gore in December of 2009. The material was sent to him at that time. They believed the drives were still in Mr. Gore's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 says the first drive (drive 1) (identified at the trial as Heenan 2 drive) could not be one of the drives sent to Mr. Gore in December of 2009. It says drive 1 contains files placed on the drive after December of 2009. Mr. Gore testified that no one accessed the drives in his possession between December 2009 and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plaintiff's computer forensic expert testified that folders titled "Season_1", "Season_2", "Season_2 15-10-29" and "Season_3" were copied to, moved to, or created on drive 1 in January and February 2010 and the "EUREKA_PAST" folder in April 2010. Furthermore, the season 3 actuals document contained on the drive was modified on March 11, 2010. Drive 1 could not have been the one Mr. Langtry sent to Mr. Gore.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Most likely, the plaintiff says, the person accessing the drives was Ms. Gannon as Zoic BC locked down their work stations. She would be the only person with authorization to access a locked work station and, therefore, have access to past seasons of Eureka during January and February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With respect to the second drive (drive 2) (known at trial as Heenan 3 drive), the plaintiff says that this could not be one sent to Mr. Gore as it contained folders from June 2009, long before Mr. Gore requested the information in December 2009. Furthermore, this drive also contains folders created on or moved to the hard drive in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 agrees that the third drive (drive 3) (known at trial as Heenan 1 drive), could have been sent to Mr. Gore in December 2009. Its computer forensic expert states that the folders on this drive were placed there on December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 says that as drive 3 could have been one of the two hard drives sent from Mr. Langtry to Mr. Gore in December 2009, but not drive 1 or 2, there must be another drive the defendants have not returned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plaintiff says that Mr. Adams deposed at his examination for discovery that Ms. Gannon had the drives in her apartment. It says on March 9, Ms. Gannon emailed Mr. Adams and asked him to move the Eureka material from the drives to Leviathan's servers. This is clear evidence that Ms. Gannon had the drives prior to Mr. Gore's return to Vancouver in late March/early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defendants point out that on cross-examination Mr. Langtry admitted that he sent a drive to Mr. Gore in June 2009. They also point out that while in his evidence in chief, Mr. Langtry said he sent one hard drive to Mr. Gore in December of 2009, on cross-examination he admitted that it was possible he sent two. This would account for all three hard drives.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his evidence, Mr. Gore said that he asked Mr. Langtry to copy files in June 2009. When counsel for the defendants took him through the files on drive 2, he said they looked like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On cross-examination, Mr. Gore agreed that drive 3 was one that Mr. Langtry sent him. In regard to the other drives, he testified that he did not recall whether he ever had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Mr. Gore states that he is not sure if he gave the drives to Mr. Adams or Ms. Gannon when he returned to Vancouver in late March/early April of 2010. He says the drives "were not that important" to him. He says he did not access the drives during the time he had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Mr. Gore also agrees that while his request for the material in December 2009 would have been a blanket request, it would not have included all the material from Eureka. That would have been "too much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Gannon states she did ask Mr. Langtry about the Eureka material in December 2009. She was following up on it at the request of Mr. Gore who did not want the material to be archived before he had copies of what he wanted. Ms. Gannon explained she did not see the hard drives until "March sometime" when Mr. Gore returned to Vancouver to do season 4. He had them with him. He eventually gave them to Leviathan and they were kept in her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Ms. Gannon says that Leviathan did use the drives to store season 4 material as they did not have a server or any other storage device when they began work on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On cross- examination, counsel for the plaintiff pointed out to Ms. Gannon that she has been inconsistent in her position as to the whereabouts of the hard drives. Counsel noted that in response to his request in April 2010 for the hard drives to be returned to Zoic BC, former counsel for the defendants wrote the following in a letter dated April 28,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hard drives containing the Digital Information were shipped from Zoic to Mr. Gore by FedEx, and Ms. Gannon believes the drives are still in his possession. She did not retain personal copies of any of the information, nor has Leviathan been using any confidential or proprietary information belonging to Zoic in its work on Season 4 of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At her examination for discovery, Ms. Gannon deposed that she did not remember who had the drives when they received plaintiff's counsel's letter. She agreed that she returned the drives when requested as she had them in her possession: "Right before they were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At trial, Ms. Gannon testified she saw the drives in Mr. Gore's possession in March, when he returned for season 4. She states that Mr. Gore gave one to be used to Leviathan, which they did use to store their work on. She testified that she had them "within an hour" of them being sent back to Zoic.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Plaintiff's counsel pointed out they must have had them on March 9, when she requested that Mr. Adams transfer the Eureka vault "over" via email. The Eureka vault would have been on the hard drives. In response, Ms. Gannon states she "had access"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Adams deposed at his examination for discovery that he remembers the drives being in Ms. Gannon's apartment. He states in his testimony at trial that he did not "recall seeing them for sure." When presented with his discovery, he states he "misspoke" and he "had never actually seen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defendants make two points regarding the plaintiff's case that Ms. Gannon and Mr. Adams took the Eureka material to assist in a smooth transition of Eureka to Leviathan. First, they say that Mr. Langtry would have "first-hand knowledge" of the files on the hard drives he sent to Mr. Gore in December of 2009. They say that he could have told the Court what he put on the hard drives he sent. This could have been compared to what was on the drives returned to Zoic BC by the defendants. Mr. Langtry was not asked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Second, the defendants point out that the plaintiffs also have access to the Eureka vault as it stood in December 2009. It could have presented that evidence to the Court as well to clarify what was and what was not on the hard drives. It also chose not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defendants say that while it is unclear how the folders were created on one of the hard drives in early 2010, there is "insufficient evidence to say that Ms. Gannon took the files from Zoic BC." They say that Ms. Gannon's evidence on this point was not seriously challenged. The defendants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any uncertainty as to the origin of files on the Hard Drives should properly be laid at the feet of the plaintiffs, when determining whether or not they have satisfied their onus to show misuse of confidential information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While I agree with the defendants that the plaintiff had the opportunity to present evidence through Mr. Langtry and from the Eureka vault, I only agree in part that it has not established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 has conceded that drive 3 was likely one of possibly multiple drives sent to Mr. Gore by Mr. Langtry in December 2009. I agree and find that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 regard to drive 2, the plaintiff did not establish that either of the personal defendants took this hard drive from Zoic BC during their tenure there. Mr. Langtry admitted to sending Mr. Gore a drive in June 2009. This drive contained material from that time. Mr. Gore identified this drive as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recognize that the computer expert testified that folders were created on this hard drive starting on April 16, 2010. However, Mr. Gore would have been in Vancouver during this time for season 4. An equally plausible explanation to this being a drive Ms. Gannon took from Zoic BC is that this is the drive the defendants used to store Eureka material on when Leviathan was first getting started. In fact, the names of the folders created in April support this: Eureka_401, Leviathan, TinySequence (Tiny is an eight-legged robot created by Leviathan that appeared in season 4), Global_dynamics, etc. I cannot find on a balance of probabilities that this drive was taken from Zoic BC by Ms. Gannon.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However, I find drive 1 was not one of the drives provided to Mr. Gore by Mr. Langtry. I find that the material on this drive was copied by Ms. Gannon to take with her when she left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 Gore, in his testimony, states that he did not access the hard drives he received from Mr. Langtry between December 2009 and April 2010. Drive 1 was accessed several times in January and February when several folders were created on the drive. Furthermore, on March 11, 2010, the season 3 actuals document was modified. Ms. Gannon states that Mr. Gore did not even return to Vancouver until March to commence working on season 4. The evidence of Mr. Gore seems to be that he was travelling in early 2010 and did not come to Vancouver until late March or early April. It was not Mr. Gore who was accessing the drives.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Furthermore, a very similar document to the season 3 actuals document was used by Leviathan to apply for a loan from the Business Development Bank of Canada. Whether or not it was in fact Ms. Gannon who accessed the actuals document on drive 1 in March 2010 (which will be discussed further below), the point is that Leviathan had access to that material at a time when Mr. Gore was not accessing the hard drives Mr. Langtry sent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Ms. Gannon was the Zoic BC employee who would have had the access and the ability to copy the Eureka material. Mr. Adams saw hard drives at Ms. Gannon's apartment by at least March 2010 and she asked Mr. Adams to copy the vault on March 9 - before Mr. Gore says he had returned to Vancouver. On a balance of probabilities, I find that Ms. Gannon copied the Eureka material onto that hard drive and took it from Zoic BC. She is, therefore, in breach of her duty of good faith and fidelity for taking the information on the hard drives, particularly as she was still employed by Zoic BC at the time of their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There is no evidence that Mr. Adams was involved in copying or removing the material from Zoic BC. I find that he is not in breach of his duty of fidelity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acknowledge that after GEP Productions was informed that Eureka material was in the possession of the defendants and Mr. Gore, it advised Zoic BC it consented to this. However, that later ratification does not absolve Ms. Gannon of her conduct for two reasons. The first reason is that the material on hard drive 1 included information that did not belong to GEP Productions, such as the actuals document. Second, this information was taken at a time when Ms. Gannon was employed by Zoic BC. There was no proper reason for her to take the information from Zoic BC, nor was it hers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This does not completely resolve the issue of misuse of confidential information. The next issue is whether Ms. Gannon, Mr. Adams and Leviathan are in breach of confidence for using certain documents contained on the hard drives. The plaintiff alleges that the defendants misused the following Zoic BC documents: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bid template;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VFX tech memo;</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actuals document;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episode naming convention;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deal memos.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defendants admit to using these documents, but deny they were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my view, it is irrelevant which hard drive the documents were on - the one Ms. Gannon placed material on or the others that came to be in possession of the defendants. The defendants had the documents in their possession and admitted to using them. The issue becomes whether that use was a misuse and, therefore, a breach of confidence.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test for determining whether there has been a misuse of confidential information (or a breach of confidence) was outlined by LaForest J. in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There are three elements: the information conveyed must be confidential, it must have been communicated in confidence, and it must be misused by the party to whom it was communicated: at 635. The misuse must be to the "detriment of the party communicating it", although that detriment can include emotional or psychological distress resulting from the release of the information: </w:t>
      </w:r>
      <w:r>
        <w:rPr>
          <w:rFonts w:ascii="arial" w:eastAsia="arial" w:hAnsi="arial" w:cs="arial"/>
          <w:i/>
          <w:color w:val="000000"/>
          <w:sz w:val="20"/>
          <w:lang w:val="en-US" w:eastAsia="en-US" w:bidi="ar-SA"/>
        </w:rPr>
        <w:t>Cadbury Schweppes Inc. v. FBI Foods Ltd.</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at paras. 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Foreman v. Chambers et al.,</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2006 BCSC 1244</w:t>
        </w:r>
      </w:hyperlink>
      <w:r>
        <w:rPr>
          <w:rFonts w:ascii="arial" w:eastAsia="arial" w:hAnsi="arial" w:cs="arial"/>
          <w:color w:val="000000"/>
          <w:sz w:val="20"/>
          <w:lang w:val="en-US" w:eastAsia="en-US" w:bidi="ar-SA"/>
        </w:rPr>
        <w:t xml:space="preserve">, var'd on other grounds, </w:t>
      </w:r>
      <w:hyperlink r:id="rId1130" w:history="1">
        <w:r>
          <w:rPr>
            <w:rFonts w:ascii="arial" w:eastAsia="arial" w:hAnsi="arial" w:cs="arial"/>
            <w:i/>
            <w:color w:val="0077CC"/>
            <w:sz w:val="20"/>
            <w:u w:val="single"/>
            <w:shd w:val="clear" w:color="auto" w:fill="FFFFFF"/>
            <w:lang w:val="en-US" w:eastAsia="en-US" w:bidi="ar-SA"/>
          </w:rPr>
          <w:t>2007 BCCA 409</w:t>
        </w:r>
      </w:hyperlink>
      <w:r>
        <w:rPr>
          <w:rFonts w:ascii="arial" w:eastAsia="arial" w:hAnsi="arial" w:cs="arial"/>
          <w:color w:val="000000"/>
          <w:sz w:val="20"/>
          <w:lang w:val="en-US" w:eastAsia="en-US" w:bidi="ar-SA"/>
        </w:rPr>
        <w:t>, discussed the factors to bear in mind when considering the first element of breach of confidence - the information conveyed must be confidential -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w:t>
      </w:r>
      <w:r>
        <w:rPr>
          <w:rFonts w:ascii="arial" w:eastAsia="arial" w:hAnsi="arial" w:cs="arial"/>
          <w:i/>
          <w:color w:val="000000"/>
          <w:sz w:val="20"/>
          <w:lang w:val="en-US" w:eastAsia="en-US" w:bidi="ar-SA"/>
        </w:rPr>
        <w:t>Pharand Ski Corporation v. Alberta</w:t>
      </w:r>
      <w:r>
        <w:rPr>
          <w:rFonts w:ascii="arial" w:eastAsia="arial" w:hAnsi="arial" w:cs="arial"/>
          <w:color w:val="000000"/>
          <w:sz w:val="20"/>
          <w:lang w:val="en-US" w:eastAsia="en-US" w:bidi="ar-SA"/>
        </w:rPr>
        <w:t xml:space="preserve"> (1991), </w:t>
      </w:r>
      <w:hyperlink r:id="rId1131" w:history="1">
        <w:r>
          <w:rPr>
            <w:rFonts w:ascii="arial" w:eastAsia="arial" w:hAnsi="arial" w:cs="arial"/>
            <w:i/>
            <w:color w:val="0077CC"/>
            <w:sz w:val="20"/>
            <w:u w:val="single"/>
            <w:shd w:val="clear" w:color="auto" w:fill="FFFFFF"/>
            <w:lang w:val="en-US" w:eastAsia="en-US" w:bidi="ar-SA"/>
          </w:rPr>
          <w:t>80 Alta. L.R. (2d) 216</w:t>
        </w:r>
      </w:hyperlink>
      <w:r>
        <w:rPr>
          <w:rFonts w:ascii="arial" w:eastAsia="arial" w:hAnsi="arial" w:cs="arial"/>
          <w:color w:val="000000"/>
          <w:sz w:val="20"/>
          <w:lang w:val="en-US" w:eastAsia="en-US" w:bidi="ar-SA"/>
        </w:rPr>
        <w:t xml:space="preserve"> (Q.B.), Mason J. extensively canvassed the law of breach of confidence. With respect to whether information has the necessary quality of confidence to found an action for breach of confidence, he said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list of factors to be considered to determine if the information has a quality of confidence about it ... are:</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information is known outside the owner's business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it is known by employees and others involved in the owner's business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measures taken by him to guard the secrecy of the information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information to him and his competitors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or effort expended by him in developing the information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 or difficulty with which the information could be properly acquired or duplicated by others [i.e. by their independent endeavours].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factors are useful, but as Fullager, J. states in </w:t>
      </w:r>
      <w:r>
        <w:rPr>
          <w:rFonts w:ascii="arial" w:eastAsia="arial" w:hAnsi="arial" w:cs="arial"/>
          <w:i/>
          <w:color w:val="000000"/>
          <w:sz w:val="20"/>
          <w:lang w:val="en-US" w:eastAsia="en-US" w:bidi="ar-SA"/>
        </w:rPr>
        <w:t>Deta Nominees</w:t>
      </w:r>
      <w:r>
        <w:rPr>
          <w:rFonts w:ascii="arial" w:eastAsia="arial" w:hAnsi="arial" w:cs="arial"/>
          <w:color w:val="000000"/>
          <w:sz w:val="20"/>
          <w:lang w:val="en-US" w:eastAsia="en-US" w:bidi="ar-SA"/>
        </w:rPr>
        <w:t xml:space="preserve"> [1979] V.R. 167 at p. 193 they are not exhaustive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 appeal, the court upheld the trial judge's use of these factors, but noted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 At the same time, I do note the Court's statement in </w:t>
      </w:r>
      <w:r>
        <w:rPr>
          <w:rFonts w:ascii="arial" w:eastAsia="arial" w:hAnsi="arial" w:cs="arial"/>
          <w:i/>
          <w:color w:val="000000"/>
          <w:sz w:val="20"/>
          <w:lang w:val="en-US" w:eastAsia="en-US" w:bidi="ar-SA"/>
        </w:rPr>
        <w:t>Cadbury Schweppes</w:t>
      </w:r>
      <w:r>
        <w:rPr>
          <w:rFonts w:ascii="arial" w:eastAsia="arial" w:hAnsi="arial" w:cs="arial"/>
          <w:color w:val="000000"/>
          <w:sz w:val="20"/>
          <w:lang w:val="en-US" w:eastAsia="en-US" w:bidi="ar-SA"/>
        </w:rPr>
        <w:t xml:space="preserve"> to the effect that while the nature of the information may influence the appropriate remedy, the action for breach of confidence is "rooted in the relationship of confidence rather than the legal characteristics of the information confided."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will address each document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Bid Template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bid template, as I understand it, is the document used to bid on projects. One template is used for each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At the risk of oversimplifying, I will attempt to describe the bid template. The bid is done in an Excel spreadsheet. The portion provided to the client breaks down the episode shot by shot, describes each shot, outlines the visual effect(s) method to be used in the shot and provides a price for that shot. At the bottom, it provides a grand total for the cost of the visual effects for the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There is also a portion of the spreadsheet that Mr. McBride testified is kept internally. This portion breaks down the internal bidding process. Each column represents a visual effects task that needs to be completed. For example, avid editing, avid rental, storyboarding, concept art, Photoshop modelling, texturing, rating animation or lighting. This part contains the pricing rate, how long they believe each task will take and the total they expect to charge for that task given the rate and estimated completion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McBride states the following in regard to the internal portion of the bid template: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So anyway, that -- all of that combined, what I -- what I think, you know, I want to get across in the aggregate is that all of these kinds of things or most all of these kinds of things would happen at many if not all of the visual effects houses. What's critical that defines this as confidential and proprietary is this was our very specific way that we would break down a bid. This was our very specific way that we would make sure that we covered all tasks and everything in a budget and in a bid to a client, and that's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pricing information, the plaintiff says, is also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plaintiff says that the bid template took several years and over 500 hours of work to create. It was "so confidential that only certain Zoic staff had access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defendants argue that the tasks set out on the template are industry standard. Mr. Gore and Ms. Gannon testified that in previous jobs they used similar spreadsheets with similar tasks and methods of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As for the pricing information, the defendants say that in this case the rates are not confidential as they are "general pricing information" and not something which required great time and research to develop. Furthermore, that information could have been compiled from memory by Mr. Gore and is, therefore, not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Leaving aside the pricing information for a moment, I agree with the defendants that the remainder of the bid template is not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portion sent to the client is clearly not confidential. Mr. Welke testified that the bid template was sent to many people working to produce Eureka. It was widely available outside the plaintiff's business. There did not seem to be an expectation that it was confidential. Furthermore, it does not meet several of the other factors to consider when determining whether a document is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As for the portion kept in-house (again leaving aside the pricing information), while Zoic BC claims to have taken over 500 hours to create the bid template, Mr. Gore and Ms. Gannon agree that the tasks set out within were industry standard. They had used similar spreadsheets on other jobs before. Mr. Gore testified that he could recreate the bid template in one day. Ms. Gannon testified it would take a few hours. The information was readily available throughout the industry, even if Zoic BC itself did not allow all its employees to access its bid 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This evidence leads me to two conclusions. First, the layout of the bid template would not be highly valuable should a competitor gain possession of Zoic BC's version. Second, I find that there would not be an expectation of someone in Ms. Gannon's position to keep the information confidential. The nature of the relationship is not one that would give rise to an expectation of confidentiality in regard to this material. There was never any express instruction from Zoic LA to keep the form itself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pricing information, however, I find would be confidential information. The factors outlined above, coupled with the nature of the relationship with Ms. Gannon to the information, lead me to determine that it should not have been used. No one outside the employer's business had access to this information. It could be used by a competitor to gain an advantage over Zoic BC in a bidding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While the defendant argues the pricing information is also industry know-how, the plaintiff's individual pricing information would have been something it developed itself. Its own price would not have necessarily been the same as other studios.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find the information would have been communicated in confidence to Ms. Gannon while she was working at Zoic BC. While I believe her that she did not determine the pricing rates or structure while there, in my view, she would have had ready access to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The defendants point out that Mr. Gore helped develop those numbers which fluctuated over time and per show. He and Ms. Gannon would have remembered them and could have used them even without the template. They obtained the information through the knowledge and experience they acquired in their positions. Therefore, the pricing information is not confidential. The defendants point out that the court in </w:t>
      </w:r>
      <w:r>
        <w:rPr>
          <w:rFonts w:ascii="arial" w:eastAsia="arial" w:hAnsi="arial" w:cs="arial"/>
          <w:i/>
          <w:color w:val="000000"/>
          <w:sz w:val="20"/>
          <w:lang w:val="en-US" w:eastAsia="en-US" w:bidi="ar-SA"/>
        </w:rPr>
        <w:t>Barton Insurance</w:t>
      </w:r>
      <w:r>
        <w:rPr>
          <w:rFonts w:ascii="arial" w:eastAsia="arial" w:hAnsi="arial" w:cs="arial"/>
          <w:color w:val="000000"/>
          <w:sz w:val="20"/>
          <w:lang w:val="en-US" w:eastAsia="en-US" w:bidi="ar-SA"/>
        </w:rPr>
        <w:t xml:space="preserve"> found that a former employee who does not have a non-solicitation agreement can actively canvass her former employer's clients from memory. This is despite a client list being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I do not accept this argument. </w:t>
      </w:r>
      <w:r>
        <w:rPr>
          <w:rFonts w:ascii="arial" w:eastAsia="arial" w:hAnsi="arial" w:cs="arial"/>
          <w:i/>
          <w:color w:val="000000"/>
          <w:sz w:val="20"/>
          <w:lang w:val="en-US" w:eastAsia="en-US" w:bidi="ar-SA"/>
        </w:rPr>
        <w:t>Barton Insurance</w:t>
      </w:r>
      <w:r>
        <w:rPr>
          <w:rFonts w:ascii="arial" w:eastAsia="arial" w:hAnsi="arial" w:cs="arial"/>
          <w:color w:val="000000"/>
          <w:sz w:val="20"/>
          <w:lang w:val="en-US" w:eastAsia="en-US" w:bidi="ar-SA"/>
        </w:rPr>
        <w:t xml:space="preserve"> relates exclusively to a former employee's memory of client lists. In my view, this makes </w:t>
      </w:r>
      <w:r>
        <w:rPr>
          <w:rFonts w:ascii="arial" w:eastAsia="arial" w:hAnsi="arial" w:cs="arial"/>
          <w:i/>
          <w:color w:val="000000"/>
          <w:sz w:val="20"/>
          <w:lang w:val="en-US" w:eastAsia="en-US" w:bidi="ar-SA"/>
        </w:rPr>
        <w:t>Barton Insurance</w:t>
      </w:r>
      <w:r>
        <w:rPr>
          <w:rFonts w:ascii="arial" w:eastAsia="arial" w:hAnsi="arial" w:cs="arial"/>
          <w:color w:val="000000"/>
          <w:sz w:val="20"/>
          <w:lang w:val="en-US" w:eastAsia="en-US" w:bidi="ar-SA"/>
        </w:rPr>
        <w:t xml:space="preserve"> distinguishable. A former employee is barred from removing client lists from his/her employer, but is free to solicit his/her former employer's clients as long as he/she does not have a non-solicitation clause. Given that pricing information in the hands of a former employee who is now a competitor places the former employer in an obviously vulnerable position, I cannot find that pricing information has that same status. I find the case cited by the plaintiff, </w:t>
      </w:r>
      <w:r>
        <w:rPr>
          <w:rFonts w:ascii="arial" w:eastAsia="arial" w:hAnsi="arial" w:cs="arial"/>
          <w:i/>
          <w:color w:val="000000"/>
          <w:sz w:val="20"/>
          <w:lang w:val="en-US" w:eastAsia="en-US" w:bidi="ar-SA"/>
        </w:rPr>
        <w:t>Zesta Engineering Ltd. v. Cloutier</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2010 ONSC 5810</w:t>
        </w:r>
      </w:hyperlink>
      <w:r>
        <w:rPr>
          <w:rFonts w:ascii="arial" w:eastAsia="arial" w:hAnsi="arial" w:cs="arial"/>
          <w:color w:val="000000"/>
          <w:sz w:val="20"/>
          <w:lang w:val="en-US" w:eastAsia="en-US" w:bidi="ar-SA"/>
        </w:rPr>
        <w:t xml:space="preserve"> at paras. 211-214 (CanLII), more apt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remaining factors require this Court to determine whether Ms. Gannon used the information herself and whether it was used to the detriment of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Mr. Gore admitted to using the rate calculations to bid for Eureka on behalf of Leviathan. Ms. Gannon admitted in her discovery that she had assisted with the bids for season 4 of Eureka. This, in my view, leads to the conclusion that Ms. Gannon personally used the confidential information contained in the bid template.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move then to whether the plaintiff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I accept that detriment in this context is a broad concept: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Air Canada v. Westjet Airlines Ltd.</w:t>
      </w:r>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(2005), 20 C.P.C. (6th) 141</w:t>
        </w:r>
      </w:hyperlink>
      <w:r>
        <w:rPr>
          <w:rFonts w:ascii="arial" w:eastAsia="arial" w:hAnsi="arial" w:cs="arial"/>
          <w:color w:val="000000"/>
          <w:sz w:val="20"/>
          <w:lang w:val="en-US" w:eastAsia="en-US" w:bidi="ar-SA"/>
        </w:rPr>
        <w:t xml:space="preserve"> at para. 18 (Ont. Sup. Ct. J.). I further concur with the court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which stated that in terms of detriment, what is being referred to is harm or loss: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 find the plaintiff did suffer a loss by the use of this confidential information by Ms. Gannon. Ms. Gannon did not pay for the use; the document had been developed at the plaintiff's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Accordingly, I find that Ms. Gannon breached confidence. Through this breach, she also breached her duty of fidelity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 do not find that Mr. Adams was involved in the use of any confidential information in relation to the bid 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A corporation can be held responsible for a breach of confidence if it participated in the breach: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BCSC, at para. 136. I find that Leviathan participated in the breach. The bid templates were used on behalf of Leviathan by Mr. Gore and Ms. Gannon to bid on season 4 of Eureka.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VFX Tech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VFX Tech Memo is part of the bid template. It is a second spreadsheet in the Excel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Based on the testimony of Mr. Gore, Ms. Gannon and Mr. Welke, it appears the VFX Tech Memo was widely disseminated. According to Mr. Gore, it was provided to production, post-production, the art department, the grips, lighting, the director of photography, the director, the first assistant director, the second assistant director, the third assistant director, the editorial department, the visual effects editor, etc. He states "a hundred people might get this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In my view, neither the document nor the information contained therein is confidential. It does not meet the first element of the test from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Clearly, this document was widely accessible by people both within and outside Zoic BC. The plaintiff does not appear to have attempted to keep it confidential.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Actuals Template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actuals template was the document used by Zoic BC to track their costs and profits. As noted previously, the defendants modified the season 3 actuals template contained on drive 1 on March 11, 2010. A document very similar to that actuals template was used to apply for a loan with the Business Development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defendants argue that the actuals template does not rise to the level of being confidential information. I disagree. I find that this document did contain confidential information. It contained information regarding the hours bid for episodes 1 through 18 of season 3, how many of those hours were actually used, the total revenue and profit. This was information that was not accessible outside the plaintiff's business. This is something that is easy to consider as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defendants also argue that none of the rates contained within the actuals template were alleged as being used to create season 4 actuals. However, Zoic BC is arguing they were used for the defendants to apply for a loan to the Business Development Bank of Canada. In my view, the misuse need not be linked only to Eureka. Taking and using confidential information in any context can be a 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Ms. Gannon testified that she did not access the template from the Zoic vault. She admits she put the numbers in the template, but she did not access it originally.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This is one of the aspects of her evidence where I find Ms. Gannon was not completely forthright. While she may not have been the one to access it, I find that Ms. Gannon was aware that the template she was using was Zoic BC's. I find that she used the bid rate contained therein for the loan application actuals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For the same reason I have given on the bid template, I find that the plaintiff suffered a detriment through the misuse of the information. Ms. Gannon is, therefore, in breach of her duty of confidentiality and her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again, find that Mr. Adams was not involved in this breach personally. Leviathan, however, should also be held responsible for the breach. The actuals template was used to apply for a loan on its behalf.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Naming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naming convention is the name given to each shot in each episode of a show. The plaintiff claims it is confidential information and that the defendants copied their naming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naming convention can be found on documents given to people outside the organization. For example, it is regularly given to clients in the VFX Tech Memo, which, as discussed, was widely dispersed to many different people outside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Mr. Gore and Mr. Welke both testified that naming conventions are not confidential or proprietary information. I find the naming convention was not confidential information. In any event, the naming convention was released to the world inadvertently on the season 3.5 DVD. I agree with the defendant that if there were any confidentiality in the naming convention it has now been lost.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Deal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deal memo is the document Zoic BC has its employees and freelancers sign to agree to the terms and conditions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find that this document does not meet the first element of the test for establishing a breach of confidence. It does not contain confidential information. There was no expectation amongst those that signed it that it would be kept confidential. I do not accept Mr. McBride's testimony that it was expected in the industry that it was confidential.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In conclusion, I find that Ms. Gannon and Leviathan are liable for breach of their duty of confidentiality for misuse of the bid templates and actuals template. As a result of this breach, I also find that Ms. Gannon breached her duty of fidelity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Before moving on to the next issue, I would address one argument put forth by the plaintiff. The plaintiff submitted that the use of the bid template, including the pricing information, the access to the visual effects from Eureka and the use of the naming convention all allowed the defendants to "springboard" to a place where they could transition seamlessly to provide visual effects for Eureka: see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at para. 67. According to the plaintiff, it was "far easier" for the defendants as a result of the use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agree with this argument to some extent. I cannot deny that cumulatively these factors allowed Leviathan and the defendants to springboard ahead. They put Leviathan in a place to transition somewhat more easily into providing visual effects for Eureka than they could otherwise have done. However, I do not agree that it was "far easier." First, I have not found that all of this information was confidential, therefore, the defendants cannot be faulted for using it. Second, I would point out that Leviathan would surely and readily have had access to the Eureka material through Mr. Gore and through GEP Productions to which the material belonged. This is so, despite Ms. Gannon having taken some of it herself. Third, while I agree with the plaintiff that the pricing information of Zoic's is confidential, the defendants, together with Mr. Gore, would have been in a position based on their knowledge and skill to determine pricing structures and rates fairly easily. The use of the information did allow Leviathan to transition faster. It did not, however, put them in a place where it was "far easier" to work with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 for the Breach of the Duty of Fidelity, Good Faith and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defendants raise the issue of causation in regard to their breach of their duty of fidelity.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The defendants argue that GEP Productions would not have returned to Zoic BC for visual effects for season 4 of Eureka in any event. They say the personal defendants' breaches of their duty of good faith and fidelity did not </w:t>
      </w:r>
      <w:r>
        <w:rPr>
          <w:rFonts w:ascii="arial" w:eastAsia="arial" w:hAnsi="arial" w:cs="arial"/>
          <w:color w:val="000000"/>
          <w:sz w:val="20"/>
          <w:u w:val="single"/>
          <w:lang w:val="en-US" w:eastAsia="en-US" w:bidi="ar-SA"/>
        </w:rPr>
        <w:t>cause</w:t>
      </w:r>
      <w:r>
        <w:rPr>
          <w:rFonts w:ascii="arial" w:eastAsia="arial" w:hAnsi="arial" w:cs="arial"/>
          <w:color w:val="000000"/>
          <w:sz w:val="20"/>
          <w:lang w:val="en-US" w:eastAsia="en-US" w:bidi="ar-SA"/>
        </w:rPr>
        <w:t xml:space="preserve"> Zoic BC's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plaintiff says that the representatives from GEP Productions, Stephen Welke and Jaime Paglia, admitted that Mr. Gore was influential in determining where Eureka took its business for season 4. The plaintiff asserts that the defendants' conduct is linked to Mr. Gore's decision to take Eureka to other studios. Thus, the defendants' breaches caused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plaintiff links the defendants' conduct to its loss on several bases. First, the plaintiff says Ms. Gannon's failure to advise Zoic LA of Mr. Gore's intention to leave did not allow management the opportunity to persuade Mr. Gore to come back. It says Mr. Gore exaggerated his issues with Zoic LA in his direct examination. Actually, Zoic LA gave Mr. Gore a lot of freedom and always accepted his recommendations. The issue Mr. Gore had with compensation as stated in his email of February 26, 2010, could have been addressed as it always had in past years, by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plaintiff submits that "Mr. Gore's move was motivated less by his unhappiness at Zoic than by his desire to help Ms. Gannon set up a new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Second, the plaintiff states that the defendants' conduct denied it its opportunity to speak directly with GEP Productions. If given the opportunity to meet with GEP Productions, the plaintiff says it would have been able to convince GEP to leave Eureka with Zoic BC. The evidence suggests that GEP was in fact happy with Zoic BC's work on the previous seasons.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Third, the plaintiff asserts that the defendants' competition while employed and misuse of the confidential information allowed it to springboard and be in a position to provide a smooth transition. GEP Productions would have been less inclined to move forward with a studio that was not immediately ready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Finally, the plaintiff says that the defendants' actions of erasing the material from Leviathan's computer tower before providing it to the plaintiff as part of disclosure in this action was egregious. It should result in an adverse inference being drawn against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To be awarded damages for the defendants' breach of contract, the plaintiff must prove on a balance of probabilities that the defendants caused their loss: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at para. 201. The defendants must be the "effective or dominant" cause of the loss: H.G. Beale et al. eds.,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30th ed. vol. 1 (London, UK: Sweet &amp; Maxwell, 2008) at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Welke testified for the defendants. He joined Eureka for season 3 as co-producer. He testified that previously he had worked for televisions shows that had used Zoic - he did not specify which Zoic studio - as their visual effects provider, namely, Bionic Woman and October Road. About Zoic's work,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Bionic Woman</w:t>
      </w:r>
      <w:r>
        <w:rPr>
          <w:rFonts w:ascii="arial" w:eastAsia="arial" w:hAnsi="arial" w:cs="arial"/>
          <w:color w:val="000000"/>
          <w:sz w:val="20"/>
          <w:lang w:val="en-US" w:eastAsia="en-US" w:bidi="ar-SA"/>
        </w:rPr>
        <w:t xml:space="preserve">, again, I didn't get to choose my visual effects company. Zoic was chosen by the studio and one of the producers. On </w:t>
      </w:r>
      <w:r>
        <w:rPr>
          <w:rFonts w:ascii="arial" w:eastAsia="arial" w:hAnsi="arial" w:cs="arial"/>
          <w:i/>
          <w:color w:val="000000"/>
          <w:sz w:val="20"/>
          <w:lang w:val="en-US" w:eastAsia="en-US" w:bidi="ar-SA"/>
        </w:rPr>
        <w:t>Bionic Woman</w:t>
      </w:r>
      <w:r>
        <w:rPr>
          <w:rFonts w:ascii="arial" w:eastAsia="arial" w:hAnsi="arial" w:cs="arial"/>
          <w:color w:val="000000"/>
          <w:sz w:val="20"/>
          <w:lang w:val="en-US" w:eastAsia="en-US" w:bidi="ar-SA"/>
        </w:rPr>
        <w:t>, we never really quite -- quite hit our stride, that the effects that we were getting weren't necessarily groundbreaking and they weren't, necessarily -- there weren't a lot of them in our show, and that what we had were, I would deem,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As for season 3 of Eureka,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 Speaking generally, Mr. Welke, what was your impression or your opinion of the visual effects work done by Zoic on Season 3 of </w:t>
      </w:r>
      <w:r>
        <w:rPr>
          <w:rFonts w:ascii="arial" w:eastAsia="arial" w:hAnsi="arial" w:cs="arial"/>
          <w:i/>
          <w:color w:val="000000"/>
          <w:sz w:val="20"/>
          <w:lang w:val="en-US" w:eastAsia="en-US" w:bidi="ar-SA"/>
        </w:rPr>
        <w:t>Eureka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had some pretty good shows, you know? Some of the work was pretty good. We also had some shots that were not so good. Some of the later episodes, we had opportunities to really do some new stuff, and -- and we never really seemed to reach our stride. We never really seemed to do anything that was really groundbreaking.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can you give the court an example of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 did an episode called, "Your Face or Mine," where a woman basically threw a -- a chemical, assumes the face of another woman whose life she wants to have because she thinks it's better than hers. Of course, the serum breaks down and her face switched back and forth between her -- her face and the other woman's face, and we basically did a -- an effort [sic] called a morph where the two faces morph back and forth between the two.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a morph is an old effect, and it -- it goes back to the late '70s, early '80s, and we weren't really seeing anything new, and I thought this was an opportunity for Zoic to really kind of reinvent the morph. You know, it -- it's something that had been done before, and we got a little bit of the same, and I thought that we really could have done something different, instead of the same old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Mr. Welke also testified that in the first half of season 3 he received some of the visual effects late and had to put them in after the shot was "mixed." My understanding is that if the effect needs to be dropped into the shot after the sound has been added this can potentially lead to the sound not matching the shot. The show must decide whether to release the shot as is or use more money to fix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On direct examination, Mr. Welke testified that it was during season 3.5, likely around April 2009, that he formed the opinion the show should use a different visual effects studio for season 4. He agreed, though, that the show was not even picked up for a new season until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Mr. Welke states he advised Mr. Gore, but no one else at Zoic BC or LA, of his concerns about the visual effects. He did inform his Eureka colleagues of his opinion that they should not return to Zoic BC in November of 2009. Mr. Welke spoke to Mr. Gore about it again in January 2010 when Mr. Gore approached him about bringing Eureka to other studios.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 decision to move studios was not made quickly. Mr. Welke states that approximately 10 meetings were held to discuss the ramifications of taking the visual effects outside Zoic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On cross-examination, Mr. Welke admitted that Mr. Gore's opinion on which studio to use in season 4 was influential - even considerably influential. He states that if Mr. Gore had wanted to stay with Zoic BC for season 4 "it would have been more difficult"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Counsel for the plaintiff took Mr. Welke through several statements he made after season 3 in regard to quality of Zoic BC's work on that season. On the season 3.5 DVD there was a visual effects special bonus feature. The commentary for the bonus feature was filmed at Zoic Studios in LA. Mr. Welke appeared in the commentary. In his comments, he stated that "production value" for the show was "extremely high." At trial, he said this was a reference to the show overall, not just the visual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Plaintiff's counsel also took him through an email he had sent to, among others, Mr. Gore and Ms. Bolton, regarding season 3 episode 1. In it he states, "You have done a fantastic job on the visual effects. Thank you for all of your hard work on Episode #301 ... You guys and gals are really making the show special." Mr. Welke testified that at the time he did not have a good relationship with Zoic after Bionic Woman. He was attempting to repair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Counsel for the plaintiff also pointed out, and Mr. Welke agreed, that comments he made in a document drafted with Mr. Gore regarding improvements to be made to season 4 were for all aspects of the show, not just special effects. Mr. Welke states he drafted his portion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Mr. Paglia, the show's co-creator,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Mr. Paglia acknowledged that there is a limited amount of time to get the visual effects done on an episode of a television show. He said that some visual effects done by Zoic BC for Eureka season 1 were very well done and some "fell short" of where GEP Productions wanted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Paglia states that Mr. Gore "lobbied hard for Zoic" to continue being the visual effects provider for season 2. He states season 2 went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However, season 3 did not meet the standard that was hoped for. About season 3, Mr. Paglia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Some shots never getting to the level that you would expect for the money that we were spending. Shots coming in late, which affects our post-production schedule. We have to hit -- hit certain dates of putting together the final pieces of these episodes, and if you hit those dates and you don't have the final visual effects actually mixed to and put up on screen for us to approve, that incurs extra costs and -- and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He testified that more often than not the work that came in that was good came from Lux Studios. As has been noted, Zoic BC was forced to contract out to Lux for some season 3 work in order to meet the demands of the show and to cover artist shortages.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After season 3 completed, Mr. Paglia was transitioned into the role of co-show runner. He and his partner decided to change the way most of the show was run. They made changes to several departments, including hair and makeup, casting, writing and producing. He noted that they believed they could also improve visual effects.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So in -- in the spirit of that -- that reboot of our show, one of the departments that had been -- you know, the consistent concern, especially after Season 3 was our visual effects and how much we were spending and what we were getting for the money that we were spending. So we elected that -- that was -- would probably be a place that we wanted to make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In November of 2009, Mr. Paglia said that he met with Mr. Welke who also expressed his views on Zoic BC. In January 2010, Mr. Paglia states that he and others met with Mr. Gore who advised them he wished to produce the visual effects without Zoic BC. Mr. Paglia states that by that time they knew they would not be returning to Zoic BC for season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GEP Productions asked Mr. Gore to come back for another meeting when he had a solid plan in place for the visual effects of season 4. He came back in early February and presented a plan that was accepted. Mr. Paglia testified that Mr. Gore never mentioned to him the visual effects studios he had in mind to provide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An interview Mr. Paglia and one of the lead Eureka actors did with various media outlets prior to the airing of season 3.5 was put to him by plaintiff's counsel. In it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say the truth is that we get new things [visual effects] every week. I think that's one of the biggest challenges for them. You know, we've got a tremendous big effects house. Matt Gore, our visual effects supervisor, and Zoic who do the visual effects have consistently, I think, really elevated the quality of our show on that level because they love it so much.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He explained at trial that he believed the visual effects people had done their very best "to elevate the quality of the show consistently." He also states though "You have to remember that I would never publically [sic] say anything negative about anybody who worked on our show so of course I'm underscoring the positives in this." He testified that when the lead actor interviewing with him referred to the show's visual effects, he felt he had to give recognition to Mr. Gore and, "by association", the artists working under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Mr. Paglia also discussed the commentary for visual effects from the season 3.5 DVD. He states that after season 1 he decided to include on each DVD a bonus feature of a behind the scenes department. As he put it, "people who make our show who don't get interviewed and showcased." For example, he included the writers on the season 2 DVD. Visual effects was season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Mr. Paglia was featured in the commentary for the season 3.5 DVD shot in Zoic Studios in LA. He can be seen wearing a Zoic Studios baseball cap. In the commentary, Mr. Paglia states that there were times when his team would praise Zoic BC for its visual effects work. Instead of accepting the praise, however, the artists would say they could make the effects better and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In response to questions about these statements, Mr. Paglia testified that the visual effect he discusses in detail in the commentary was a drone named Martha. He describes how it was Kevin Little of Lux Studios who composed Martha. He said that Mr. Little was someone who always "elevated" the visual effects. He said that Mr. Little was working under the "Zoic banner" having been doing contract work for Zoic BC. He agrees, however, that Zoic BC would have had quality control over Mr. Little's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Mr. Paglia agrees that had Mr. Gore come to him and advocated for Zoic BC, he would have given serious consideration to that. He qualified this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of course, I would take Matt's opinion if he absolutely believed that he had the right team in place to deliver the show, if that team was with Zoic, in consideration, but he didn't, and he had expressed concerns over the course of the season and he was losing the artists that he wanted to work with. So it was looking like Season 4 was going to be even harder to achieve than Season 3 and 3.5 had been, given the experience that he was having and what he was seeing happening. So that -- that was obviously a huge part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Mr. Paglia admits that if Zoic LA management had come to him during this time he would have "met with them and heard what they had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Gore testified as to his decision making process after season 3. He states that in June 2009, when the season had wrapped up, he had "thoughts in my head" about whether or not he would return, but had not made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During September 2009, he produced the document with Mr. Welke about what could be improved in season 4 as far as post production was concerned. At that time, he states that he still "had thoughts", but was still on vacation and relaxing. He was not thinking about work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Mr. Gore agrees that in January of 2010 he met with the producers of Eureka. He states that he told them he wanted to "crew it up differently." He knew of other studios in Vancouver who would be open to work if he suggested it to them. He also wanted to continue to work with Kevin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Mr. Gore met with the producers again in February, as was confirmed by Mr. Paglia. Mr. Gore says he did not provide the producers with the names of the studios who would be providing the work for season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Mr. Gore states that his relationship with Ms. Gannon played a role in his decision to move the contract from Zoic BC. He testified he was worried about Ms. Gannon's mental health. On cross-examination he admitted that he thought he would be helping Ms. Gannon out by sending her some work. He denies that either Mr. Adams or Leviathan had any part in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Mr. Gore stated on cross-examination that he wanted more money for season 4. He agreed that Zoic management, after some frustration on his part, gave him the demands he asked for in terms of compensation in previous seasons. He agreed that Mr. McBride would likely have given him what he asked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Mr. Gore testified regarding the email he sent to Mr. McBride on February 26, 2010, after he had informed Zoic BC and LA that he was taking Eureka elsewhere. In reference to why he never told management that he was taking Eureka elsewhere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would have immediately locked the project down the second I opened my mouth and the conversation would take a nose dive from there with Zoic trying to figure out how to circumvent the relationships I had dedicated years of my life to, and have worked so hard to establish with everyone day in and day out.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On direct, Mr. Gore explained that by "locked the project down" he was referring to his belief that Zoic LA would cut off his communication lines with the people of Eureka so he could not discuss his decision with them. He wanted to prevent Zoic LA from spinning untruths about him to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On cross-examination, Mr. Gore stated that he was not worried that Zoic LA would be able to take the job from him. He states that he felt this decision was none of management's business, the same way they had told him outsourcing to Lux was not his business at the start of season 3. That is why he did not mention it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Mr. Gore also denies that he specifically kept the plan a secret. He says he just did not inform Zoic LA. Counsel for the plaintiff pointed out that in November 2009, Ms. Fiore emailed Mr. Gore about a regime change at GEP Productions in regard to Eureka. She wanted Mr. Gore's opinion on whether Zoic BC and Zoic LA should be reaching out to the new people. Mr. Gore admits to receiving and responding to the email. In response to why he did not specifically answer whether they should reach out, Mr. Gore states he was still on vacation and travelling at this time. He states he did not know when he would be in town. Mr. Gore admits that he never went to Zoic LA and stated they should reach out to Eureka, even when he returned to town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In January 2010, Mr. Gore was also approached by Ms. Fiore about taking GEP Productions staff to Olympic events in Vancouver. Mr. Gore advised against it. He states he did so as it would look bad to GEP Productions that this is where Zoic LA was choosing to spend the money it made. It would appear to GEP Productions that they were paying too much for the visual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Mr. Gore denies Mr. McBride's allegations (as outlined in the background section) that he ever led Zoic LA to believe that he was going to go "in-house" with Eureka. He pointed out that he never stated this in his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agree with many aspects of the plaintiff's view of the evidence. I agree that Mr. Gore had a significant influence over the producers of Eureka. They valued his opinion; it could sway their decision one way or the other. Mr. Welke and Mr. Paglia both admitted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 also acknowledge that it was a big decision for both Mr. Gore and GEP Productions to decide to take their visual effects in another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 find, however, that I disagree with the plaintiff's version of the facts in several key areas. Firstly, I disagree that Mr. Gore was happy with his relationship with Zoic other than when the occasional conflict would cause an outburst from him. That may have been the case in years past. However, I find that the frustrations Mr. Gore faced in season 3 over the CG lead, coupled with the parking tickets incident soured Mr. Gore's view of Zoic. He stated in one of his emails and at trial that Zoic lost "50%" of his "loyalty" over this latter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Further, I find that Mr. Gore was unhappy with the way Zoic LA management questioned his use of Lux Studios as a contractor when Zoic had not provided him with enough personnel to cover the work that needed to be done. While it may be that by the time season 3.5 commenced a CG lead had been put in place, by this time, in my view, the frustration Mr. Gore had with management had taken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Plaintiff's counsel argues that in fact Mr. Gore had been granted a significant amount of freedom by management. I do not believe, however, that Mr. Gore accepted being questioned over his use of Lux. He found it frustrating. It soured his relationship with Zoic LA and he wanted more freedom than he had to contract out to the artists he liked working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 have found that Ms. Gannon knew that Mr. Gore was leaving with Eureka in October of 2009. Despite Mr. Gore's evidence to the contrary, I find that he in fact had made this decision at that time. Ms. Gannon testified that he had told her as much. I understand he was still on vacation, however, he admitted that he had thoughts about where he wanted to go in season 4 as soon as the show was done in June. While he played down whether the decision was made to leave at that time, I find that he had made the decision by October of 2009 when he spoke with Ms. Gannon. I find that Mr. Gore made this decision for his own reasons and not to assist Ms. Gannon in starting her own company. As stated, I believe Mr. Gore was upset by his perceived mistreatment by Zoic management through season 3. He believed (and I make no finding in this regard) that he had worked hard for Zoic LA and Zoic BC with Eureka over the past three seasons, only to have them let him down, refuse to pay his tickets, question his use of Lux and then threaten to part ways with him. Those were the thoughts he was mulling over in the course of his travels, not concern for Ms. Gannon and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This is also the reason why any overtures from Zoic LA would not have made any headway with Mr. Gore's decision. Increased compensation or more freedom would not have persuaded Mr. Gore to change his mind. In my view, he had a point to make regarding him being the asset that drew Eureka to Zoic BC. Where he would go, Eureka would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plaintiff states that contrary to Mr. Gore's testimony, the evidence shows that he in fact was happy at Zoic BC. It cites emails from Mr. Gore to Mr. McBride telling him he was "very fair." It also references the season 3 DVD where Mr. Gore thanks many people at Zoic by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 note the email to Mr. McBride was from 2007, well before the relationship began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 also note that Mr. Gore was unsure when the commentary for the season 3 DVD was filmed. He questioned whether it was done prior to the parking tickets issue and the meeting with Mr. Jones and Mr. McBride. In any event, whether the commentary was filmed before these issues arose or Mr. Gore was just paying lip service for the cameras, I do not believe this evidence establishes that Mr. Gore in fact was happy at Zoic.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 plaintiff also says that Zoic LA management did allow Mr. Gore a lot of discretion to hire artists of his choice. He basically had the set-up he claims he left Zoic BC to achieve. It also says that Mr. Gore was able to outsource to Lux without question from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 do not agree with this last assertion. Zoic LA did question Mr. Gore about using Lux, at least during the first episode of season 3. After the first episode, it is true that Zoic LA let Mr. Gore outsource to Lux. However, the evidence also establishes that the reason Zoic LA allowed this was because they were understaffed. Mr. Gore had no choice but to outsource. His exchange with plaintiff's counsel went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didn't even need to speak to him [Mr. McBride] on this occasion. He just okayed outsourcing to Mr. Little.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there must've been a phone call before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say there must've been, but you don't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think it makes sense. "Under the circumstances," clearly there's a conversation that we don't have a CG lead in-house and I'm talking about outsourcing work based on the fact that we don't have personnel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so there was an issue of a CG lead you raised with Zoic, "Well, let's outsource more to Lux," and they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 agreed because they had to. They didn't have the personnel.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eventually Lux did about $480,000 worth of visual effects in Season 3,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think so. Season 3 had about two point -- I think about 2.3 or 2.6 million and they did 400,000 or four sixty, whatever the number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the amount of work Lux did in Season 3 was dramatically higher from Season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Based on the fact that we didn't have personnel in place,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So there was room within -- given the million dollar increase in [the] Season 4 [budget], there was room in Season 4 to give more work to Lux if that's what you desired, wasn't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I gave Lux half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you could've done that -- given the flexibility that Zoic had given you in the past with respect to Lux, you could've done that in Season 4 using both Lux and Zoic,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Sorry. That's an amusing question, I'm sorry, because -- no. I'm going to say the answer is no. They would not have let me do 50 percent of the work with Kevin Little's company based on the statement Chris Jones made to me at some point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the point is that, you know, Zoic's amount of the work could've stayed stable from three and four and Lux could've still gone up, right, given the overall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Sure, and if I wanted to give Lux 60 percent of the work, I think Zoic would've been very upset.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the point is Zoic had previously given you the green light to increase the amount of work going to Lux,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 didn't have personnel in place, so they had to give me the flexibility to go somewhere else.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they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 couldn't get the work done, so I needed to give more work somewhere else because I -- so the answer is yes, but there's, you know, additions to that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had no reason to believe they wouldn't give you the green light to give Lux more work in Season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Based on the response I got from Episode 301 where $90,000 went to a $356,000 budget, I think, which is one-quarter of the amount of work, I think the answer would be no because a couple of phone calls came in and said, "Why is Lux getting $90,000 of this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but you just gave evidence that Lux did about 480,000 in Season 3 --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out of, by your estimate, 2.6. That's a big chunk of Season 3, isn't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if the number's three and I'm off by four hundred, then it's about -- the goal was 25 to 35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do not accept that management would have been agreeable to giving additional outsourcing to Mr. Little's company simply because Mr. Gore wanted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also find that in addition to his own reasons for leaving, Mr. Gore also wanted to be able to outsource to the artists he wanted to work with. The evidence is he, Mr. Welke and Mr. Paglia were concerned about the quality of work they were receiving from Zoic BC. I find they did have this concern, valid or not, and this too influenced Mr. Gore's decision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I also believe Mr. Gore when he said he was frustrated with the budgeting process. I find he may have wanted to leave Zoic BC for that reason as well. No matter how much freedom he was granted in that respect, as long as he had oversight in this area, that would always be an issue for him. This was something Zoic LA would never have allowed to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For these reasons, I find that the defendants' actions are not an effective or dominant cause of the plaintiff' loss. Once Mr. Gore had made up his mind, I find there was no changing it. He, in turn, had considerable influence over GEP Productions. They would have gone with his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I also accept Mr. Welke's and Mr. Paglia's testimony that they wished to see the visual effects go in a different direction from Zoic BC. I accept that Mr. Welke was not happy with the effects in season 3. He had a rocky relationship with Zoic and, in the past, had felt their visual effects were not up to standard. They also had late delivery of some effects which caused problems for Mr. Welke.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Mr. Paglia testified that he and his co-show runner were taking all the departments in a different direction. While I accept that they would have gone where Mr. Gore led, I do not find that leaving Zoic BC would have taken a lot of persuasion, as difficult a decision as it was. Changes were being made to much of the show's process, as well as its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The plaintiff points out all the positive things that Mr. Welke and Mr. Paglia had to say about Zoic LA and Zoic BC publically and in emails. It says that by saying they were unhappy with the visual effects from season 3, they are trying to justify their decision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That is not my view. I accept Mr. Paglia's explanation that he would not have publicly expressed negative thoughts about any group working for the show. This simply makes good business sense. This bonus feature was about the visual effects. Other bonus features for other seasons had been about other departments. Mr. Paglia was not about to air the show's dirty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also accept that much of his praise was for Mr. Gore and Mr. Little. Having watched the commentary, I note that Mr. Paglia discusses the visual effects for Martha the drone, as well as the scene in which the floor falls away stranding the lead actor in a room. Both of these effects came from Lux Studios. Martha was developed specifically by Mr. Little himself in answer to a problem that arose with the need to have Martha show emotion.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 acknowledge that Zoic BC had quality control over its contractors and that Mr. Paglia names Zoic in his praise. However, I accept that most of his praise was directed at Mr. Gore and Mr. Little. Two passages of Mr. Paglia's testimony help demonstrate this. The first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it [the commentary] says [as read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Zoic showed us this animatic where they have -- where they had added these flaps and lights and, you know, and she's moving and she can kind of, like, puff up when she's threaten[ed], and she can back off, and there was a sort of flow to her, we were, like, "That's -- that's the only way it's going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see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you said those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you mentioned Zoic in that passage, didn't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was being interviewed for a Zoic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didn't -- I didn't underscore that it was Kevin Little at the -- who had actually done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 right. And you understood that Mr. Little and Lux were under the quality control of Zoic, and you expected Zoic to fulfill that role as someone who was contracting out part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do you have any personal knowledge of the percentage of the work that Lux did versus Zoic?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 second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I note in the statement attributed to you, you said [as read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this is a great example of how the show evolved in collaboration with these guys.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you see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were referring to Zoic?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specifically, to Matt Gore and Kevin Little. What didn't actually make it into that was me giving credit to Kevin Little.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were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But -- but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Mr. Gore worked with Zoic?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artists who did the work were at Zoic?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that's a great -- that's a sign of a great relationship, isn't it, when the visual effects house and the show can collaborate on the development of the show?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Absolutely.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Mr. Welke testified that while he made his statements in a visual effects commentary, he was commenting on the show as a whole, not singling out Zoic for praise.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Both Mr. Welke and Mr. Paglia testified that by January 2010 they had decided not to go with Zoic BC for season 4. I accept that this was mostly influenced by Mr. Gore who I have found had already made up his mind. He would not have been persuaded from this had Zoic LA known he was going to leave. Had, Zoic LA been informed earlier of Mr. Gore's decision to leave, I do not find this would have impacted GEP Productions' decision. They would have agreed to what Mr. Gore suggested. It is clear Mr. Paglia greatly admired and appreciated Mr. Gore's abilities and trusted 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Additionally, by November 2009 Mr. Welke and Mr. Paglia were themselves already leaning toward not returning to Zoic BC. I doubt this thought process occurred overnight. By October 2009, they would have had an inkling, if not strong opinions, that they would not return to Zoic BC with Eureka. I do not believe that Zoic BC would have been able to convince them to renew the contract for season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 also do not accept the plaintiff's assertion that without Leviathan's smooth transition, GEP would not have chosen to go with the studios picked by Mr. Gore. While Mr. Welke agreed he wouldn't move the work to a studio that was not ready, Mr. Paglia stated, again, it would depend on Mr. Gore. In my view, GEP Productions would have relied on Mr. Gore's judgment for whether a studio should be given a contract. As long as Mr. Gore recommended a studio, GEP would have been happy to follow his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also reject the plaintiff's argument that an adverse inference should be drawn against the defendants for "wiping" their computer tower. There is no evidence this was done in bad faith or was done to prejudice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xml:space="preserve">  Before I move to the next issue, I would acknowledge the plaintiff's argument in respect to whom should have born the onus of proving causation. The plaintiff submits the onus should fall to the defendants to show they did not cause the plaintiff's loss as their "breach of contract, and their secrecy throughout their breach, have obscured the determination of causation." In support of this argument, the plaintiff cites </w:t>
      </w:r>
      <w:r>
        <w:rPr>
          <w:rFonts w:ascii="arial" w:eastAsia="arial" w:hAnsi="arial" w:cs="arial"/>
          <w:i/>
          <w:color w:val="000000"/>
          <w:sz w:val="20"/>
          <w:lang w:val="en-US" w:eastAsia="en-US" w:bidi="ar-SA"/>
        </w:rPr>
        <w:t>Roe, McNeill &amp; Co. v. McNeill</w:t>
      </w:r>
      <w:r>
        <w:rPr>
          <w:rFonts w:ascii="arial" w:eastAsia="arial" w:hAnsi="arial" w:cs="arial"/>
          <w:color w:val="000000"/>
          <w:sz w:val="20"/>
          <w:lang w:val="en-US" w:eastAsia="en-US" w:bidi="ar-SA"/>
        </w:rPr>
        <w:t xml:space="preserve">, </w:t>
      </w:r>
      <w:hyperlink r:id="rId1134" w:history="1">
        <w:r>
          <w:rPr>
            <w:rFonts w:ascii="arial" w:eastAsia="arial" w:hAnsi="arial" w:cs="arial"/>
            <w:i/>
            <w:color w:val="0077CC"/>
            <w:sz w:val="20"/>
            <w:u w:val="single"/>
            <w:shd w:val="clear" w:color="auto" w:fill="FFFFFF"/>
            <w:lang w:val="en-US" w:eastAsia="en-US" w:bidi="ar-SA"/>
          </w:rPr>
          <w:t>[1994] B.C.J. No. 1187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 do not agree with this submission. In the event that I am wrong, however, I find that the defendants have essentially shown that they did not cause the plaintiff's loss. I would have found, in any event, that the defendants have established on a balance of probabilities that they did not cause the loss. The evidence is tipped generously in their favour.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plaintiff argues that if the defendants did not cause its loss of Eureka, they caused it to lose the opportunity to renew a contract with Eureka. It says that even if the court finds that causation is not established, it should receive a damage award for the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Loss of opportunity is compensable: </w:t>
      </w:r>
      <w:r>
        <w:rPr>
          <w:rFonts w:ascii="arial" w:eastAsia="arial" w:hAnsi="arial" w:cs="arial"/>
          <w:i/>
          <w:color w:val="000000"/>
          <w:sz w:val="20"/>
          <w:lang w:val="en-US" w:eastAsia="en-US" w:bidi="ar-SA"/>
        </w:rPr>
        <w:t>Pan-Asia Development Corp. v. Smith</w:t>
      </w:r>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(1996), 31 C.C.L.T. (2d) 82</w:t>
        </w:r>
      </w:hyperlink>
      <w:r>
        <w:rPr>
          <w:rFonts w:ascii="arial" w:eastAsia="arial" w:hAnsi="arial" w:cs="arial"/>
          <w:color w:val="000000"/>
          <w:sz w:val="20"/>
          <w:lang w:val="en-US" w:eastAsia="en-US" w:bidi="ar-SA"/>
        </w:rPr>
        <w:t xml:space="preserve"> (B.C.S.C.). The court in </w:t>
      </w:r>
      <w:r>
        <w:rPr>
          <w:rFonts w:ascii="arial" w:eastAsia="arial" w:hAnsi="arial" w:cs="arial"/>
          <w:i/>
          <w:color w:val="000000"/>
          <w:sz w:val="20"/>
          <w:lang w:val="en-US" w:eastAsia="en-US" w:bidi="ar-SA"/>
        </w:rPr>
        <w:t>Pan-Asia</w:t>
      </w:r>
      <w:r>
        <w:rPr>
          <w:rFonts w:ascii="arial" w:eastAsia="arial" w:hAnsi="arial" w:cs="arial"/>
          <w:color w:val="000000"/>
          <w:sz w:val="20"/>
          <w:lang w:val="en-US" w:eastAsia="en-US" w:bidi="ar-SA"/>
        </w:rPr>
        <w:t xml:space="preserve"> stated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Where the plaintiff proves that, but for the defendant's conduct, the plaintiff had a reasonable probability of realizing an advantage of real monetary value, the court must attempt to estimate the value of the lost chance and award damages on a proportionate basis, by discounting the value of the chance by the improbability of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 note the language used by the court in </w:t>
      </w:r>
      <w:r>
        <w:rPr>
          <w:rFonts w:ascii="arial" w:eastAsia="arial" w:hAnsi="arial" w:cs="arial"/>
          <w:i/>
          <w:color w:val="000000"/>
          <w:sz w:val="20"/>
          <w:lang w:val="en-US" w:eastAsia="en-US" w:bidi="ar-SA"/>
        </w:rPr>
        <w:t>Pan-Asia</w:t>
      </w:r>
      <w:r>
        <w:rPr>
          <w:rFonts w:ascii="arial" w:eastAsia="arial" w:hAnsi="arial" w:cs="arial"/>
          <w:color w:val="000000"/>
          <w:sz w:val="20"/>
          <w:lang w:val="en-US" w:eastAsia="en-US" w:bidi="ar-SA"/>
        </w:rPr>
        <w:t xml:space="preserve"> was "a reasonable probability of realizing an advantage of real monetary value." For the reasons outlined above, I do not find that the plaintiff had a reasonable probability of being awarded the visual effects contract for season 4 of Eureka. It is my view, however, that Zoic BC had a reasonable </w:t>
      </w:r>
      <w:r>
        <w:rPr>
          <w:rFonts w:ascii="arial" w:eastAsia="arial" w:hAnsi="arial" w:cs="arial"/>
          <w:color w:val="000000"/>
          <w:sz w:val="20"/>
          <w:u w:val="single"/>
          <w:lang w:val="en-US" w:eastAsia="en-US" w:bidi="ar-SA"/>
        </w:rPr>
        <w:t>possibility</w:t>
      </w:r>
      <w:r>
        <w:rPr>
          <w:rFonts w:ascii="arial" w:eastAsia="arial" w:hAnsi="arial" w:cs="arial"/>
          <w:color w:val="000000"/>
          <w:sz w:val="20"/>
          <w:lang w:val="en-US" w:eastAsia="en-US" w:bidi="ar-SA"/>
        </w:rPr>
        <w:t xml:space="preserve"> of being awarded the contract. Ms. Gannon's failure to inform Zoic LA that Mr. Gore and GEP Productions were not returning did cause Zoic BC to lose the possibility of it renewing its contract with Eureka. Had Ms. Gannon informed them of such, they would have been able to approach GEP Productions and discuss the issue. Zoic BC, in my view, had a chance, albeit a very small chance, to renew the contract. It is entitled to receive damages for loss of opportunity for Ms. Gannon's breach of fidelity for her failure to disclose Mr. Gore's departure. The fact that the chance was minute will be reflected in the reduction of damages for the likelihood Zoic BC would not have been awarded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The plaintiff argued that if this Court found that the personal defendants had breached their duty of fidelity which, in turn, caused the plaintiff's loss, the plaintiff should be entitled to an accounting. As I found the loss was not caused by the defendants, it is unnecessary for me to address the issue as to the proper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It is necessary for me to address two issues concerning remedy that arise out of my findings, however. The first issue relates to an argument of the plaintiff's regarding the method of assessing loss of opportunity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Pan-Asia</w:t>
      </w:r>
      <w:r>
        <w:rPr>
          <w:rFonts w:ascii="arial" w:eastAsia="arial" w:hAnsi="arial" w:cs="arial"/>
          <w:color w:val="000000"/>
          <w:sz w:val="20"/>
          <w:lang w:val="en-US" w:eastAsia="en-US" w:bidi="ar-SA"/>
        </w:rPr>
        <w:t xml:space="preserve"> stated that where loss of opportunity is found, the court must assess damages by estimating the value of the chance that was lost. It is then necessary to discount that award by the "improbability of its occurrence":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The plaintiff, however, encourages the court to take the approach taken by the courts in </w:t>
      </w:r>
      <w:r>
        <w:rPr>
          <w:rFonts w:ascii="arial" w:eastAsia="arial" w:hAnsi="arial" w:cs="arial"/>
          <w:i/>
          <w:color w:val="000000"/>
          <w:sz w:val="20"/>
          <w:lang w:val="en-US" w:eastAsia="en-US" w:bidi="ar-SA"/>
        </w:rPr>
        <w:t>Gottcon Contractors Ltd. v. Manzo</w:t>
      </w:r>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(1992), 49 C.L.R. 233</w:t>
        </w:r>
      </w:hyperlink>
      <w:r>
        <w:rPr>
          <w:rFonts w:ascii="arial" w:eastAsia="arial" w:hAnsi="arial" w:cs="arial"/>
          <w:color w:val="000000"/>
          <w:sz w:val="20"/>
          <w:lang w:val="en-US" w:eastAsia="en-US" w:bidi="ar-SA"/>
        </w:rPr>
        <w:t xml:space="preserve"> (Ont. Ct. J. (Gen. Div.)) and </w:t>
      </w:r>
      <w:r>
        <w:rPr>
          <w:rFonts w:ascii="arial" w:eastAsia="arial" w:hAnsi="arial" w:cs="arial"/>
          <w:i/>
          <w:color w:val="000000"/>
          <w:sz w:val="20"/>
          <w:lang w:val="en-US" w:eastAsia="en-US" w:bidi="ar-SA"/>
        </w:rPr>
        <w:t>Gagnon Demolition Inc. v. Windsor (City)</w:t>
      </w:r>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(2004), 46 M.P.L.R. (3d) 71</w:t>
        </w:r>
      </w:hyperlink>
      <w:r>
        <w:rPr>
          <w:rFonts w:ascii="arial" w:eastAsia="arial" w:hAnsi="arial" w:cs="arial"/>
          <w:color w:val="000000"/>
          <w:sz w:val="20"/>
          <w:lang w:val="en-US" w:eastAsia="en-US" w:bidi="ar-SA"/>
        </w:rPr>
        <w:t xml:space="preserve"> (Ont. Sup. Ct. J.). The plaintiff submits that in these cases, the court assumed causation was established and awarded damages as if the plaintiff had received the contract. That amount was reduced for the contingency that the plaintiff would not have been awarded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In my view, the distinction between the two methods of calculating damages is without a difference. I believe both methods would lead to the same outcome. For that reason, I will calculate damages by the method requested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As for the amount that the damages should be reduced by for the possibility the plaintiff would not have been awarded the contract, the plaintiff says it should be reduced by 10 to 15%. Based on my finding that Mr. Gore would not have returned to Zoic BC with Eureka for season 4, in my view the reduction should be much larger. I find that the loss of opportunity damages should be reduced by 95%. I find there was only about a 5% chance that Mr. Gore could have been persuaded to return. Eureka would likely have gone where Mr. Gore recommended. While this reduction may seem draconian, on the evidence I simply cannot find that Zoic BC's chances of being awarded the contract with Eureka were any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 second issue regarding the proper remedy relates to the finding of misuse of confidential information. In arguing the causation issue, the defendants pointed out that where there has been a misuse of confidential information by an employee, an employer is entitled to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Restauronics</w:t>
      </w:r>
      <w:r>
        <w:rPr>
          <w:rFonts w:ascii="arial" w:eastAsia="arial" w:hAnsi="arial" w:cs="arial"/>
          <w:color w:val="000000"/>
          <w:sz w:val="20"/>
          <w:lang w:val="en-US" w:eastAsia="en-US" w:bidi="ar-SA"/>
        </w:rPr>
        <w:t>, the Court of Appeal states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The case-law seems to indicate that where there has been a misuse of confidential information or trade secrets, the employer may recover damages against the employee for profits it has lost as a consequence of the breach or, instead of damages, elect to take judgment for an account of the profits the employee has obtained through the wrongful exploitation of the material in question. The employer is free to choose whichever method will result in greater compensation.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Despite making a finding that the personal defendant, Ms. Gannon, and Leviathan misused confidential information, I do not find this is a case in which an accounting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The Supreme Court of Canada addressed the issue of equitable remedies for breach of confidence cases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The Court stated a number of important principles relevant to the action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By way of background,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the defendant was involved in producing the drink "Caesar Cocktail" with another company, Caesar Canning. Caesar Canning had developed the drink to compete with the plaintiffs' "Clamato" drink. Casear Cocktail was developed by Caesar Canning with the knowledge it had acquired of Clamato's ingredients through its relationship with the plaintiff. The defendants subsequently purchased the assets of Caesar Canning, including the Caesar Cocktail brand, after Caesar Canning went bankrupt. The plaintiffs, after some delay, sued for breach of confidence for the misuse of the recipe for Clamato in the developing of Caesar Cocktail: at paras. 3 - 13.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trial judge held that there had been a breach of confidence. She then turned to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The plaintiffs had waived their right to an accounting and the trial judge held that they were not entitled to the equitable relief of a permanent injunction. The trial judge also found that the plaintiffs had not proven any financial loss, but did find that the defendants had been enabled to springboard ahead by 12 months through the misuse of the confidential information. This allowed them to get their product on the market 12 months earlier than they would have otherwise been able to. The trial judge assessed damages in the amount it would have cost Caesar Canning to hire a consultant to develop the drink had it not known the formula for Clamato: at paras. 15-17.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On appeal, the Supreme Court observed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equitable doctrine, which is the basis on which the courts below granted relief, potentially runs alongside a number of other causes of action for unauthorized use or disclosure of confidential information, including actions sounding in contract, tort and property law.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 statement which is apt in this case, the Court stated "jurisdiction in the courts in a breach of confidence action to grant a remedy [is] dictated by the facts of the case rather than strict jurisdictional or doctrinal considerations":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Importantly, the Court also clarified the jurisdiction of the courts to award equitable compensation. At para. 61.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 In my view, therefore, having regard to the evolution of equitable principles apparent in the case law, </w:t>
      </w:r>
      <w:r>
        <w:rPr>
          <w:rFonts w:ascii="arial" w:eastAsia="arial" w:hAnsi="arial" w:cs="arial"/>
          <w:color w:val="000000"/>
          <w:sz w:val="20"/>
          <w:u w:val="single"/>
          <w:lang w:val="en-US" w:eastAsia="en-US" w:bidi="ar-SA"/>
        </w:rPr>
        <w:t>we should clearly affirm that, in this country, the authority to award financial compensation for breach of confidence is inherent in the exercise of general equitable jurisdiction</w:t>
      </w:r>
      <w:r>
        <w:rPr>
          <w:rFonts w:ascii="arial" w:eastAsia="arial" w:hAnsi="arial" w:cs="arial"/>
          <w:color w:val="000000"/>
          <w:sz w:val="20"/>
          <w:lang w:val="en-US" w:eastAsia="en-US" w:bidi="ar-SA"/>
        </w:rPr>
        <w:t xml:space="preserve"> and does not depend on the niceties of </w:t>
      </w:r>
      <w:r>
        <w:rPr>
          <w:rFonts w:ascii="arial" w:eastAsia="arial" w:hAnsi="arial" w:cs="arial"/>
          <w:i/>
          <w:color w:val="000000"/>
          <w:sz w:val="20"/>
          <w:lang w:val="en-US" w:eastAsia="en-US" w:bidi="ar-SA"/>
        </w:rPr>
        <w:t>Lord Cairns' Act</w:t>
      </w:r>
      <w:r>
        <w:rPr>
          <w:rFonts w:ascii="arial" w:eastAsia="arial" w:hAnsi="arial" w:cs="arial"/>
          <w:color w:val="000000"/>
          <w:sz w:val="20"/>
          <w:lang w:val="en-US" w:eastAsia="en-US" w:bidi="ar-SA"/>
        </w:rPr>
        <w:t xml:space="preserve"> or its statutory successors. This conclusion is fed, as well, by the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nature of the action [of breach of confidence]. </w:t>
      </w:r>
      <w:r>
        <w:rPr>
          <w:rFonts w:ascii="arial" w:eastAsia="arial" w:hAnsi="arial" w:cs="arial"/>
          <w:color w:val="000000"/>
          <w:sz w:val="20"/>
          <w:u w:val="single"/>
          <w:lang w:val="en-US" w:eastAsia="en-US" w:bidi="ar-SA"/>
        </w:rPr>
        <w:t>The objective in a breach of confidence case is to put the confider in as good a position as it would have been in but for the breach</w:t>
      </w:r>
      <w:r>
        <w:rPr>
          <w:rFonts w:ascii="arial" w:eastAsia="arial" w:hAnsi="arial" w:cs="arial"/>
          <w:color w:val="000000"/>
          <w:sz w:val="20"/>
          <w:lang w:val="en-US" w:eastAsia="en-US" w:bidi="ar-SA"/>
        </w:rPr>
        <w:t>. To that end, the Court has ample jurisdiction to fashion appropriate relief out of the full gamut of available remedies, including appropriate financial compensation.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I recognize that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the plaintiffs had waived their right to an accounting. However, I take from this case that this Court has the jurisdiction to award any equitable remedy that is appropriate on the facts of this case. While an accounting is usually an electable remedy where an employee has been found by the court to misuse confidential information, that remedy is not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I find this is so for the following reasons. First, the Court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cited with approval Lord Denning's analysis in </w:t>
      </w:r>
      <w:r>
        <w:rPr>
          <w:rFonts w:ascii="arial" w:eastAsia="arial" w:hAnsi="arial" w:cs="arial"/>
          <w:i/>
          <w:color w:val="000000"/>
          <w:sz w:val="20"/>
          <w:lang w:val="en-US" w:eastAsia="en-US" w:bidi="ar-SA"/>
        </w:rPr>
        <w:t>Seager v. Copydex, Ltd. (No. 2)</w:t>
      </w:r>
      <w:r>
        <w:rPr>
          <w:rFonts w:ascii="arial" w:eastAsia="arial" w:hAnsi="arial" w:cs="arial"/>
          <w:color w:val="000000"/>
          <w:sz w:val="20"/>
          <w:lang w:val="en-US" w:eastAsia="en-US" w:bidi="ar-SA"/>
        </w:rPr>
        <w:t>, [1969] 2 All E.R. 718 (C.A.). Binnie J. outlines this analysis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trial judge awarded the respondents the equivalent of the consulting fee it would have cost Caesar Canning to develop Caesar Cocktail without improper use of the respondents' confidential information. ... In adopting this approach the trial judge relied on the analysis of Lord Denning in </w:t>
      </w:r>
      <w:r>
        <w:rPr>
          <w:rFonts w:ascii="arial" w:eastAsia="arial" w:hAnsi="arial" w:cs="arial"/>
          <w:i/>
          <w:color w:val="000000"/>
          <w:sz w:val="20"/>
          <w:lang w:val="en-US" w:eastAsia="en-US" w:bidi="ar-SA"/>
        </w:rPr>
        <w:t>Seager v. Copydex Ltd. (No.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already discussed, who for the purposes of assessing equitable compensation divided confidential information into three categories: "nothing very special", "something special" and "very special indeed", as follows, at pp. 719-20: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difficulty is to assess the value of the information taken by the defendant company. . . . The value of the confidential information depends on the nature of it. [1] If there was </w:t>
      </w:r>
      <w:r>
        <w:rPr>
          <w:rFonts w:ascii="arial" w:eastAsia="arial" w:hAnsi="arial" w:cs="arial"/>
          <w:color w:val="000000"/>
          <w:sz w:val="20"/>
          <w:u w:val="single"/>
          <w:lang w:val="en-US" w:eastAsia="en-US" w:bidi="ar-SA"/>
        </w:rPr>
        <w:t>nothing very special</w:t>
      </w:r>
      <w:r>
        <w:rPr>
          <w:rFonts w:ascii="arial" w:eastAsia="arial" w:hAnsi="arial" w:cs="arial"/>
          <w:color w:val="000000"/>
          <w:sz w:val="20"/>
          <w:lang w:val="en-US" w:eastAsia="en-US" w:bidi="ar-SA"/>
        </w:rPr>
        <w:t xml:space="preserve"> about it, that is, if it involved no particular inventive step but was the sort of information which could be obtained by employing any competent consultant, then the value of it was the fee which a consultant would charge for it; because in that case the defendant company, by taking the information, would only have saved themselves the time and trouble of employing a consultant. But, on the other hand, [2] if the information was </w:t>
      </w:r>
      <w:r>
        <w:rPr>
          <w:rFonts w:ascii="arial" w:eastAsia="arial" w:hAnsi="arial" w:cs="arial"/>
          <w:color w:val="000000"/>
          <w:sz w:val="20"/>
          <w:u w:val="single"/>
          <w:lang w:val="en-US" w:eastAsia="en-US" w:bidi="ar-SA"/>
        </w:rPr>
        <w:t>something special</w:t>
      </w:r>
      <w:r>
        <w:rPr>
          <w:rFonts w:ascii="arial" w:eastAsia="arial" w:hAnsi="arial" w:cs="arial"/>
          <w:color w:val="000000"/>
          <w:sz w:val="20"/>
          <w:lang w:val="en-US" w:eastAsia="en-US" w:bidi="ar-SA"/>
        </w:rPr>
        <w:t xml:space="preserve">, as, for instance, if it involved an inventive step or something so unusual that it could not be obtained by just going to a consultant, then the value of it is much higher. It is not merely a consultant's fee, but the price which a willing buyer -- desirous of obtaining it -- would pay for it. It is the value as between a willing seller and a willing buyer. [3] ... if the plaintiff is right in saying that the confidential information was </w:t>
      </w:r>
      <w:r>
        <w:rPr>
          <w:rFonts w:ascii="arial" w:eastAsia="arial" w:hAnsi="arial" w:cs="arial"/>
          <w:color w:val="000000"/>
          <w:sz w:val="20"/>
          <w:u w:val="single"/>
          <w:lang w:val="en-US" w:eastAsia="en-US" w:bidi="ar-SA"/>
        </w:rPr>
        <w:t>very special indeed</w:t>
      </w:r>
      <w:r>
        <w:rPr>
          <w:rFonts w:ascii="arial" w:eastAsia="arial" w:hAnsi="arial" w:cs="arial"/>
          <w:color w:val="000000"/>
          <w:sz w:val="20"/>
          <w:lang w:val="en-US" w:eastAsia="en-US" w:bidi="ar-SA"/>
        </w:rPr>
        <w:t>, then it may well be right for the value to be assessed on the footing that, in the usual way, it would be remunerated by a royalty. The court, of course, cannot give a royalty by way of damages; but it could give an equivalent by a calculation based on a capitalisation of a royalty. Thus it could arrive at a lump sum. Once a lump sum is assessed and paid, then the confidential information would belong to the defendant company in the same way as if they had bought and paid for it by an agreement of sale.</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Binnie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defendants in this case argued that the confidential information was "nothing very special." I agree. The bulk of the information the plaintiff claimed was confidential, I found not to be so. Even with the documents that were misused, it was only minimal pricing and financial information of the plaintiff's that I found to be confidential. In my view, the information, particularly the bid template, used by Ms. Gannon and Leviathan was something that it would not have taken anyone with experience such as Ms. Gannon's and Mr. Gore's very long to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Second, while I agree that the defendants were able to springboard with the misuse of the confidential information by Ms. Gannon and Leviathan, I do not find that this springboard effect was for any significant length of time. As I have said previously, the bid template could have been drafted in a short period of time had the defendant, Ms. Gannon, and Mr. Gore put their minds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main use of the actuals document was to apply for a loan from the Business Development Bank of Canada. This occurred early on and I do not believe it was significant to the springboarding.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Furthermore, while I found the taking of the hard drives by Ms. Gannon to be a breach of confidence, most of the material she could have obtained through GEP Productions or Mr. Gore in any event. This did not allow her to springboard in a dramatic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In my view, to order an accounting of the profits made by the defendants from their contract with Eureka would simply be too harsh a remedy when the benefit the defendants gained from use of the confidential information is assessed. It would overcompensate the plaintiff as opposed to putting it back in the position it would have been but for the breach of confidence since I do not accept that as a result of the misuse of the confidential information the defendants obtained the Eureka contract. I find that I am in a similar place as the trial judge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who "questioned the appropriateness of an injunction in a case where much of the "confidential" information was either public or of marginal significance, and any injury could be satisfactorily remedied by financial compensation": at para. 17. I question the appropriateness of an accounting in the circumstances before me. As the Supreme Court stated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While equity is thus quick to protect confidences, it cannot be blind to the nature of the opportunity lost to the respondents, or the value of their information, when consideration turns to remedies. Equity will avoid unjustly enriching the confider by overcompensating for "nothing very special" information just as it will avoid unjustly enriching the confidee by awarding less than realistic compensation for financial losses genuinely suffered.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 find that equitable compensation is a recognition of the benefit received by the defendants through the use of the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 acknowledge that neither party made any submissions as to whether the plaintiff should be entitled to an accounting in this case. However, based on the pleadings and the evidence before me, I find this was a necessary issue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Conversion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plaintiff also makes claims for conversion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Although unclear, its claim for conversion appears to relate to both physical equipment and digital material it is claiming is confidential or proprietary.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In regard to the equipment, a fisheye camera lens and a "Compositor's toolkit", the plaintiff did not specifically address these in its written submissions. The defendants say that other than that they were in Ms. Gannon's office and now the plaintiff cannot find them, there is nothing to show the defendants have these items.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As for the confidential material, the defendants claim this was not properly pleaded. They say the plaintiff, at the time of closing arguments, still had not specified which material it was claiming was converted.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 do not find it necessary to discuss this claim at any length. In my view, the conversion of any alleged confidential and proprietary information is a claim duplicative of the claims of breach of confidence and misuse of confidential information. I have already made findings in regard to those claims. It is unnecessary to address them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 plaintiff also claims that the defendants unlawfully conspired to compete while still employed by the plaintiff, convert and misuse confidential and proprietary information of the plaintiff's and solicit Eureka and Zoic BC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 have found that the defendants did not solicit Eureka or Zoic employees, so I will not address that issue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As for the conspiracy to compete while employed and convert and misuse confidential information, I again find this to be a duplicative claim. For the same reasons as outlined for conversion, I do not find it necessary to make any findings in relation to conspiracy. I have already awarded compensation for these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The plaintiff says that it should be entitled to compensation for the Global Dynamics model that Mr. Adams worked on in late January 2010, while he was still at Zoic BC. It says Mr. Adams was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elements of unjust enrichment are well known, but I will repeat them here:</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 corresponding deprivation of the plaintiff;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2004 SCC 75</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 agree with the plaintiff that Mr. Adams was unjustly enriched. I believe Mr. Adams that he started afresh on a new Global Dynamics model, the one that was actually used for season 4 of Eureka. Nevertheless, the work he completed on the building while at Zoic BC would have provided a basis for what he eventually did. That is to say that he would have acquired from the original model an understanding of what he wished the building to look like and what worked in terms of the model and what did not. It may have only been 16 hours worth of knowledge, but it was 16 hours he would not otherwise have had. This was a benefit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 plaintiff would have suffered a corresponding deprivation. The software it had purchased was used by its employee to produce a partial model for which Zoic BC was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To be clear, I do not find that Mr. Adams used this partial composition and built on it for the model used in season 4. It is simply that the knowledge he gained while working on the model at Zoic BC was a benefit to him. Zoic BC was not paid for that benefit, despite it being their equipment he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There is no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Having found there was an unjust enrichment, I find that the plaintiff is entitled to compensation. I would note, though, that any compensation the plaintiff receives for this unjust enrichment will not be substantial. Neither the detriment suffered by the plaintiff, nor the benefit received by Mr. Adams was large. In fact, the 16 hours head start of knowledge Mr. Adams acquired is a drop in the bucket compared to the 250 to 300 hours spent on the model that was eventually aired in season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The plaintiff submits that it should be awarded punitive damages based on the conduct of the defendants. It cites the well-known 2002 decision of the Supreme Court of Canada,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stated that punitive damages are awarded in "exceptional cases." Such cases are where the defendant has acted in a "malicious, oppressive and high-handed" manner, a manner which "offends the court's sense of decency":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The plaintiff points out that the courts in </w:t>
      </w:r>
      <w:r>
        <w:rPr>
          <w:rFonts w:ascii="arial" w:eastAsia="arial" w:hAnsi="arial" w:cs="arial"/>
          <w:i/>
          <w:color w:val="000000"/>
          <w:sz w:val="20"/>
          <w:lang w:val="en-US" w:eastAsia="en-US" w:bidi="ar-SA"/>
        </w:rPr>
        <w:t>RBC Dominion</w:t>
      </w:r>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Schauenburg Industries Ltd. et al. v. Borowski et al.</w:t>
      </w:r>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(1979), 101 D.L.R. (3d) 701</w:t>
        </w:r>
      </w:hyperlink>
      <w:r>
        <w:rPr>
          <w:rFonts w:ascii="arial" w:eastAsia="arial" w:hAnsi="arial" w:cs="arial"/>
          <w:color w:val="000000"/>
          <w:sz w:val="20"/>
          <w:lang w:val="en-US" w:eastAsia="en-US" w:bidi="ar-SA"/>
        </w:rPr>
        <w:t xml:space="preserve"> (Ont. H. Ct. Jus.), and </w:t>
      </w:r>
      <w:r>
        <w:rPr>
          <w:rFonts w:ascii="arial" w:eastAsia="arial" w:hAnsi="arial" w:cs="arial"/>
          <w:i/>
          <w:color w:val="000000"/>
          <w:sz w:val="20"/>
          <w:lang w:val="en-US" w:eastAsia="en-US" w:bidi="ar-SA"/>
        </w:rPr>
        <w:t>A.R. Thomson Ltd. v. Stock</w:t>
      </w:r>
      <w:r>
        <w:rPr>
          <w:rFonts w:ascii="arial" w:eastAsia="arial" w:hAnsi="arial" w:cs="arial"/>
          <w:color w:val="000000"/>
          <w:sz w:val="20"/>
          <w:lang w:val="en-US" w:eastAsia="en-US" w:bidi="ar-SA"/>
        </w:rPr>
        <w:t xml:space="preserve">, </w:t>
      </w:r>
      <w:hyperlink r:id="rId1139" w:history="1">
        <w:r>
          <w:rPr>
            <w:rFonts w:ascii="arial" w:eastAsia="arial" w:hAnsi="arial" w:cs="arial"/>
            <w:i/>
            <w:color w:val="0077CC"/>
            <w:sz w:val="20"/>
            <w:u w:val="single"/>
            <w:shd w:val="clear" w:color="auto" w:fill="FFFFFF"/>
            <w:lang w:val="en-US" w:eastAsia="en-US" w:bidi="ar-SA"/>
          </w:rPr>
          <w:t>[1994] B.C.J. No. 1566</w:t>
        </w:r>
      </w:hyperlink>
      <w:r>
        <w:rPr>
          <w:rFonts w:ascii="arial" w:eastAsia="arial" w:hAnsi="arial" w:cs="arial"/>
          <w:color w:val="000000"/>
          <w:sz w:val="20"/>
          <w:lang w:val="en-US" w:eastAsia="en-US" w:bidi="ar-SA"/>
        </w:rPr>
        <w:t xml:space="preserve"> (S.C.) all awarded punitive damages in employment cases. It says that punitive damages are awarded especially where the employer has suffered "significant financial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Throughout these proceedings, the individuals who run the plaintiff have made clear the moral indignation and outrage they feel for the defendants' actions. They have accused the defendants of wiping their computer tower clean in order to hide information pertinent to the litigation. They have accused the defendants of ongoing possession of hard drives containing Zoic's materials and not surrendering those to the plaintiffs. They said the same about certain visual effects equipment. I did not find that there was enough evidence to prove any of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There is evidence regarding some of the plaintiff's other claims. The defendants deleted certain files from the hard drives they did return to Zoic BC. I do not find, though, that there is sufficient evidence to show they did so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defendants did misuse some confidential information. Ms. Gannon, as I have found, did take material from Zoic's server to bring with her to Leviathan. This is certainly behaviour that deserves some censure.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Based on my findings, however, I do not accept that punitive damages are warranted in the circumstances. Many of the plaintiff's claims did not meet the burden of proof, or the evidence indicated the contrary. Furthermore, as I do not find that it was the defendants' actions that caused the plaintiff's loss, I cannot find that the plaintiff suffered significant financial distress at the hands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There is no doubt that Zoic BC lost a significant and important client when Eureka took its business elsewhere. The loss, however, was not caused by the fault of the defendants. I cannot help but observe that, in fact, some of blame for that loss lies with the actions of Zoic LA management. It was their actions that alienated Mr. Gore. It was Mr. Gore who left with Eureka.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 do not accept that the defendants' conduct meets the level of being oppressive, high-handed or malicious; it does not offend this Court's sense of decency. In my view, this is not an exceptional case that warrants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Counsel are free to appear before me to make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In summary, I find the following:</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Gannon was not a fiduciary to Zoic BC;</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Gannon breached her implied contractual duty of fidelity, good faith and loyalty by competing while employed, failing to disclose information to Zoic LA, failing to attempt to retain employees and misusing confidential information;</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Adams breached his implied contractual duty of fidelity, good faith and loyalty by competing while employed;</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Gannon and Leviathan breached their duty of confidentiality;</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of their duty of fidelity, good faith and loyalty did not cause the plaintiff's loss;</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Gannon's breach of her duty of fidelity, good faith and loyalty by failing to inform Zoic LA that Mr. Gore was not returning for season 4 did cause Zoic BC to lose an opportunity to attempt to renew its contract with Eureka;</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Zoic BC is entitled to damages for loss of opportunity in the amount it would have profited had it received the Eureka season 4 contract reduced by 95% to account for the possibility it would not have received the contract;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entitled to an accounting for the breach of confidence, but to equitable compensation;</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for conversion and conspiracy are duplicative of the other claims and I decline to determine them;</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Adams was unjustly enriched by his use of Zoic BC's software to draft a partial model of the Global Dynamics building. Damages for unjust enrichment in this case will be minimal;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 would like to thank counsel in this matter for their courtesy towards each other and the Court throughout the duration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0"/>
          <w:headerReference w:type="default" r:id="rId1141"/>
          <w:footerReference w:type="even" r:id="rId1142"/>
          <w:footerReference w:type="default" r:id="rId1143"/>
          <w:headerReference w:type="first" r:id="rId1144"/>
          <w:footerReference w:type="first" r:id="rId11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6" w:history="1">
        <w:r>
          <w:rPr>
            <w:rFonts w:ascii="arial" w:eastAsia="arial" w:hAnsi="arial" w:cs="arial"/>
            <w:b/>
            <w:bCs/>
            <w:i/>
            <w:color w:val="0077CC"/>
            <w:kern w:val="32"/>
            <w:sz w:val="28"/>
            <w:szCs w:val="32"/>
            <w:u w:val="single"/>
            <w:shd w:val="clear" w:color="auto" w:fill="FFFFFF"/>
            <w:lang w:val="en-US" w:eastAsia="en-US" w:bidi="ar-SA"/>
          </w:rPr>
          <w:t>625536 B.C. Ltd. v. Strata Plan LMS 4385, [2018] B.C.J. No. 3280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May 30 and June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S111054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1659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625536 B.C. Ltd., Plaintiff, and The Owners, Strata Plan LMS 4385, Amritpal Gill, Inderjit Dhillon, Tarlochan Kandola, Kuldip Mangat, Gurinder Toor, Sarbjit Sidhu, Hargurchet Gill, Hari Sharma, and Maple Leaf 1st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4"/>
      <w:bookmarkEnd w:id="298"/>
      <w:r>
        <w:rPr>
          <w:rFonts w:ascii="arial" w:eastAsia="arial" w:hAnsi="arial" w:cs="arial"/>
          <w:b/>
          <w:color w:val="000000"/>
          <w:sz w:val="20"/>
          <w:lang w:val="en-US" w:eastAsia="en-US" w:bidi="ar-SA"/>
        </w:rPr>
        <w:t>Legal Profession — Barristers and solicitors — Compensation — Solicitor's lien — Statutory charging order — Property recovered or preserved in proceeding — Application by law firm for declaration that funds held in law firm's trust account were subject to charge under s. 79 of Legal Profession Act allowed — Law firm represented client in three actions — Money was paid into law firm's trust account following foreclosure action — Law firm issued accounts for three actions that were outstanding since July 2013 — Order was obtained for payment of money out of trust fund to client — Law firm established it was unlikely to be paid — Accounts were old and relationship between client and law firm was ruptured — Legal Profession Act, ss. 79, 79(1).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3"/>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Fulton &amp; Company LLP and Frank Scordo (collectively "Fulton") for a declaration that funds currently held in Fulton's trust account were subject to a charge under s. 79 of the Legal Profession Act. Two amounts were involved. The first amount, $9,874, was for fees, charges, and disbursements arising from Fulton's representation of 625336 B.C. Ltd. (625) in an action related to the instant action. The second amount, $29,182, was for fees, charges, and disbursements arising from Fulton's representation of 625 in the instant action. The fees and disbursements arose from the collection of a loan in default. There were three actions started. The first action was for foreclosure and was resolved by way of a consent order nisi. Two strata lots were sold and the amount of $216,058 placed in Fulton's trust account. The second action was a conspiracy action. The instant action sought the release of a portion of the sale proceeds held in trust. The action was settled by an all-inclusive payment of $35,000 to 625. In addition, the funds held in trust in the foreclosure proceeding were ordered to be released to 625. 625 argued that Fulton failed to show that its accounts would not be paid.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7"/>
            <w:bookmarkEnd w:id="30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relationship between 625 and Fulton had ruptured. 625 brought an action against Fulton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the foreclosure proceedings. The conspiracy action account and instant action account were rendered in July 2013, over five years ago. An outstanding account over five years old was rarely paid voluntarily. While 625 held a commercial strata lot, there was no assurance that claims would not be brought by others against 625. Without a charged under s. 79(1) of the Act, Fulton would not be paid.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36"/>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1147" w:history="1">
        <w:r>
          <w:rPr>
            <w:rFonts w:ascii="arial" w:eastAsia="arial" w:hAnsi="arial" w:cs="arial"/>
            <w:i/>
            <w:color w:val="0077CC"/>
            <w:sz w:val="20"/>
            <w:u w:val="single"/>
            <w:shd w:val="clear" w:color="auto" w:fill="FFFFFF"/>
            <w:lang w:val="en-US" w:eastAsia="en-US" w:bidi="ar-SA"/>
          </w:rPr>
          <w:t>S.B.C. 1998, c. 9, s. 79</w:t>
        </w:r>
      </w:hyperlink>
      <w:r>
        <w:rPr>
          <w:rFonts w:ascii="arial" w:eastAsia="arial" w:hAnsi="arial" w:cs="arial"/>
          <w:color w:val="000000"/>
          <w:sz w:val="20"/>
          <w:lang w:val="en-US" w:eastAsia="en-US" w:bidi="ar-SA"/>
        </w:rPr>
        <w:t>, s. 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4"/>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(Application Respondent): J. Shragge.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Not appearing at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Applicants, Fulton &amp; Company LLP and Frank Scordo: K.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4"/>
      <w:bookmarkEnd w:id="303"/>
      <w:r>
        <w:pict>
          <v:line id="_x0000_s1258"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G.S. FUNT J."/>
            <w:bookmarkEnd w:id="304"/>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applicants, Fulton &amp; Company LLP and Mr. Frank Scordo, seek a declaration that funds currently held in Fulton &amp; Company LLP's trust account are subject to a charge under s. 79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Two amounts are involved. The first amount, $9,874.25, is for fees, charges, and disbursements arising from the applicants' representation of 625336 B.C. Ltd. ("625 B.C. Ltd.") in an action related to the instant action. The second amount, $29,182.25, is for fees, charges, and disbursements arising from the applicants' representation of 625 B.C. Ltd. in the instant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the Court will make the declaration the applicants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FACTS</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applicants' fees and disbursements arose from the collection of a loan in default. Security for the loan was provided by way of a mortgage over two commercial strata lots: strata lots 105 and 106, governed by Strata Plan LMS 4385. The defendant, The Owners, Strata Plan LMS 4385, is the associated strata corporation. A petition for foreclosure was the first key step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key parties and the mortgage details are shown in Schedule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M.S. Gosal controlled and managed 625 B.C. Ltd. His spouse held all the issued and outstanding shares in the capital of 625 B.C. Ltd. When the subject fees, charges, and disbursements were incurred, 625 B.C. Ltd. held a mortgage granted by Gagan Holdings Ltd. ("G H Ltd."). The principal amount of the mortgage was $500,000. As noted, the security under the mortgage was the two strata lots (strata lots 105 and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1, 2007, G H Ltd. had purchased the two strata lots and granted the mortgage. York Business Park Inc. ("York Inc.") was the original mortgagee. Mr. Gosal was the general manager of York Inc. He owned all the issued and outstanding shares in the capital of York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York Inc. subsequently assigned its interest under the mortgage to 625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 H Ltd. is now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23, 2009, 625 B.C. Ltd. filed a petition for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May 2009, Mr. Gosal asked Mr. Scordo (and Fulton &amp; Company) to act on behalf of 625 B.C. Ltd. with respect to the foreclosure proceeding. For approximately 20 years, Mr. Scordo had acted for Mr. Gosal and various corporate entities he controlled or managed. The fee arrangement was as it had been in the past. Mr. Scordo would record his hours worked and would periodically bill his fees and disbursements.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Three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three proceedings that relate to G H Ltd.'s default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on February 23, 2009, the first proceeding was brought by 625 B.C. Ltd. for the foreclosure of the two strata lots (the "Foreclosure Proceeding"). The respondents were G H Ltd., Mr. Hargurchet Singh Gill, and Ms. Kamaljit Kaur Gill. Mr. H. Gill and Ms. K. Gill were covenantors for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1, 2009, Justice Truscott dismissed 625 B.C. Ltd.'s application for an order nisi for foreclosure and conduct of sale. Justice Truscott referred 625 B.C. Ltd.'s petition to the trial list. 625 B.C. Ltd. retained Mr. Scordo (and Fulton &amp; Company LLP)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19, 2009, the second proceeding was brought (amended June 27, 2013) based on an alleged civil conspiracy (the "Conspiracy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were 625 B.C. Ltd. and York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were G H Ltd., Mr. H. Gill, Ms. K. Gill, 0842050 B.C. Ltd., Jaspal Singh Hundal, and Sukhraj Parmar.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Scordo prepared the notice of civil claim and the amended notice of civil claim. Key portions of the amended notice of civil claim read (without noted deletions and underlining):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commencing on or about October 17, 2008 the Defendants unlawfully conspired with each other with the sole or predominant purpose of injuring York and 625536 by delaying, hindering or defrauding York and 625536 from recovering the loan amount and enforcing the rights and remedies under the Mortgage and the Assignment of Rents.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pursuance of the said conspiracy the Defendants did the following overt acts: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 Gill and Hundal incorporated 0842050 on December 18, 2008 and thereafter leased the lands and premises from [G H Ltd.] to 0842050 for the nominal sum of $1,000.00 per month without the knowledge or consent of York and 625536, and contrary to the terms of the Mortgage;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a Contract of Purchase and Sale dated February 15, 2009, G H Ltd. sold the lands and premises to Parmar for the sum of $625,000.00 with a down payment of $200,000.00 payable to [G H Ltd.]. Completion of the sale was to be May 1, 2009. Contrary to the terms of the Mortgage the said sale was without the knowledge or consent of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collusion of all Defendants, Hundal on February 28, 2009 delivered a cheque in the amount of $2,917.00 purportedly to pay one month mortgage payment. Hundal failed to disclose to the Plaintiffs that Parmar had entered into the aforesaid Contract of Purchase and Sale. Hundal thereafter deposed in an Affidavit dated March 19, 2009 filed in the Foreclosure Action, that when he attended to deliver the said cheque to 625536 it was agreed that the Mortgage would be renewed for a further period of two years on the same terms as before. This was a false statement made by Hundal to delay payment of the Loan and to delay [625536's] enforcement of its rights and remedies in the Foreclosure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to the aforesaid conspiracy, in an Affidavit sworn by H. Gill on March 19, 2009, and filed in the Foreclosure Action, H. Gill deposed that on February 28, 2009 Hundal attended at [625536's] office with a cheque for the mortgage payment for the month of March 2009, and that at that time 625536 agreed to renew the Mortgage for a further term of two years on the terms contained in the standard mortgage terms. This statement was also false to the knowledge of all Defendants.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false Affidavit sworn by Hundal and H. Gill as aforesaid, and with the collusion of all Defendants, this Honourable court on May 1, 2009 dismissed 625536 application for an Order Nisi for Foreclosure, Order for Conduct of Sale, and Order for Receiver of Rents, and directed that the proceedings be referred to the trial list.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intentionally failed to disclose to this Honourable Court at the May 1, 2009 hearing that G H Ltd. had entered into the said Contract of Purchase and Sale for the sale of the lands and premises to Parmar, and that a down payment of $200,000.00 was payable to [G H Ltd.] under the said Contract of Purchase and Sale.</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 2009 pursuant to an Addendum to the said Contract of Purchase and Sale the completion date was changed to June 30, 2009, and [G H Ltd.] further agreed to assign the original Lease to the purchaser Parmar. This term was contrary to the terms of the Mortgage and of the Assignment of Rents and furthermore the addendum was not disclosed to the Plaintiffs and to this Honourable court at the May 1, 2009 hearing.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an undated Addendum to the said Contract of Purchase of Sale the completion date for the sale of the lands and premises to Parmar was further changed from June 30, 2009 to August 31, 2009. This Addendum was not disclosed to the Plaintiffs by the Defendants.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informed of the sale of the lands and premises under the said Contract of Purchase and Sale by letter dated August 27, 2009 when [G H Ltd.] requested a payout statement from the Plaintiffs.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Order dated May 1, 2009 referring the Foreclosure Action to the trial list, the Defendants were informed by letter May 14, 2009 that the Plaintiffs would be proceeding with all due haste with the Foreclosure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failing to obtain a mutually agreeable date for examination for discovery of the Defendant, H. Gill, the Plaintiffs unilaterally scheduled an examination for discovery for July 13, 2009. The Defendant, H. Gill, failed to attend on the said date.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31, 2009 the completion date for the purchase of the lands and premises by the Defendant, Parmar, was extended to September 11, 2009.</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9, 2009 the Plaintiffs were requested to provide a payout statement with respect to the Loan.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dated September 11, 2009 the Plaintiffs provided the payout amount of the Loan and costs and disbursements claimed by the Plaintiffs.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completion date for the purchase of the lands and premises by Parmar was further extended to September 14, 2009.</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the lands and premises by the Defendant, Parmar, did not complete on September 14, 2009. The Plaintiffs were not repaid the Loan amount and costs and disbursements, notwithstanding that the Defendant Parmar had a loan commitment for the purchase of the lands and premises from Canadian Western Bank, which loan commitment was further extended on or about November 17, 2009 to December 31, 2009.</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non completion of the purchase of the lands and premises the Plaintiffs continued with the Foreclosure Action and on or about April 29, 2010 applied to this Honourable Court for an Order Nisi of Foreclosure and Other Relief. The Plaintiffs plead and rely on the Affidavit evidence filed in support of the application.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of this Honourable Court dated June 10, 2010 the application for Order Nisi of Foreclosure and Other Relief was adjourned with leave to reschedule the application after filing an amended Petition for Foreclosure.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17, 2010 the Petition for Foreclosure was amended by the Plaintiff, 625536.</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625536 brought the application for Order Nisi of Foreclosure and Other Relief on October 13, 2010. On the said date, and by consent, this Honourable Court granted an Order Nisi of Foreclosure and Other Relief.</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of Purchase and Sale dated December 1, 2010 the Defendant, Parmar, purchased from G H Ltd. the lands and premises for the sum of $670,000.00.</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9, 2011 the Plaintiff, 625536, was repaid the Loan in the amount of $503,643.82 and costs and disbursements.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been delayed and hindered from enforcing the rights and remedies under the Foreclosure Action, and to recoup the monies owing to the Plaintiffs in a timely fashion, as a result of the said conspiracy.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acts specified in the preceding paragraphs hereof were done by the Defendants in furtherance of the said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13, 2010, the Foreclosure Proceeding was resolved by way of a consent order nisi. The order nisi required that any claimed unpaid strata fees (arising before the purchase of the two strata lots by G H Ltd.) and related amounts be held in Fulton &amp; Company LLP's trust account upon the sale of the two strata lots. In accordance with the order nisi, $216,058.23 of the sale proceeds was held in trust. This amount consisted of approximately $109,000 and $105,000 in claimed unpaid strata fees for strata lots 105 and 106, respectively, and related 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17, 2011, 625 B.C. Ltd. brought the third proceeding, the instant action (the "Instant Action"). Mr. Scordo prepared the notice of civil claim. The main relief sought was a declaration that the portion of the sale proceeds of strata lots 105 and 106, which had been set aside and held in trust pursuant to the October 13, 2010 order nisi, be released on the basis that the claim of outstanding strata lot fees was without merit. Key portions of the notice of civil claim read:</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11, 2007 for valuable consideration York Business Park Inc. sold Strata Lots 105 and 106 of Plan LMS 4385 to [G H Ltd.]. York Business Park Inc. loaned to [G H Ltd.] the sum of $500,000 by way of vendor financing to enable the purchase of the said Strata Lots. The term of the loan was 2 years, maturing on February 1, 2009. The loan was secured by a first mortgage charge registered in favour of York Business Park Inc. against the said Strata Lots.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there were no monies owing by York Business Park Inc. to the Strata Corporation, when the said Strata Lots were sold to [G H Ltd.]. The Strata Corporation issued Form B certificates pursuant to Section 59 of the Strata Property Act certifying the accuracy of the information contained in the certificates. Mohinder Singh Gosal was authorized by the Strata Corporation to sign the certificates.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2009 the term of the said mortgage matured and as a result of [G H Ltd.'s] failure to repay the monies owing under the said mortgage, York Business Park Inc. assigned its interest in the said mortgage to the Plaintiff.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23, 2009 the Plaintiff commenced a foreclosure action in this Honourable Court in New Westminster Registry under Number H118160.</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13, 2010 the Plaintiff was granted an Order Nisi of Foreclosure in the said foreclosure action. It was a term of the Order that any dispute between the Strata Corporation and the Plaintiff relating to claims for outstanding strata fees or charges with respect to Strata Lots 105 and 106 that the disputed amount be paid to the law firm of Fulton &amp; Co. in trust pending further Order of the Court or agreement of the parties and the Strata Corporation.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13, 2011, [G H Ltd.] sold Strata Lots 105 and 106 and obtained a discharge of the Plaintiff's mortgage by paying the sum of $529,131.79 to Fulton &amp; Co. in trust. The Strata Corporation claimed unpaid strata, fees, liens, charges, interest and fines up to and including January 7, 2011 in the amount of $216,058.23 and demanded that this amount be held in Fulton &amp; Co's trust account. Form B certificates and Form F certificates were purportedly issued by the Strata Corporation dated January 7, 2011, signed by the Defendant Inderjit Dhillon as Strata Council member.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thereof, the law firm of Fulton &amp; Co. has retained in trust with respect to the claims by the Strata Corporation relating to Strata Lots 105 and 106 the sum of $216,058.23.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Defendants knew or should have known that the Plaintiff did not owe any monies to the Strata Corporation as claimed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21, 2017, the Instant Action was settled. The defendant strata corporation agreed to make "an all-inclusive payment of $35,000" to 625 B.C. Ltd. In addition, the funds held in trust in the Foreclosure Proceeding pursuant to the October 13, 2010 order nisi in that proceeding in connection with the then claimed strata lot "arrears" were authorized to be released with interest to 625 B.C. Ltd.</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Further Agreed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hearing, the parties agreed to a number of facts, including the following (with some stylistic changes made):</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part of July 2013, 625 B.C. Ltd. discharged Mr. Scordo and Fulton &amp; Company LLP as counsel. Neither the Conspiracy Action nor the Instant Action had resolved by this time.</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18, 2013, Mr. Scordo and Fulton &amp; Company LLP issued a final account in the Conspiracy Action in the amount of $9,874.25. Up to that point, all other accounts had been paid.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19, 2013, Mr. Scordo and Fulton &amp; Company LLP issued a final account in the Instant Action in the amount of $29,182.25. Up to that point, all other accounts had been paid.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625 B.C. Ltd. did not pay the Conspiracy Action account or the Instant Action account. On May 6, 2014, Fulton &amp; Company LLP took out appointments to have these two accounts reviewed by the Registrar pursuant to ss. 70 and 71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16, 2014, the District Registrar adjourned the hearing of the review of the two accounts to permit 625 B.C. Ltd. to take steps to have Fulton &amp; Company LLP's entire "bill" reviewed, i.e., including all the paid accounts.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16, 2014, after the hearing before the District Registrar, Mr. Scordo provided 625 B.C. Ltd.'s counsel with copies of the previous accounts.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22, 2015, 625 B.C. Ltd. commenced an action claiming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Scordo and Fulton &amp; Company LLP.</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Scordo and Fulton &amp; Company LLP reset the review hearing for June 9, 2016; however, 625 B.C. Ltd. sought an adjournment to allow 625 B.C. Ltd. to further consider this matter. Fulton &amp; Company LLP consented to adjourn generally the review hearing.</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21, 2017, the Instant Action resolved. The settlement with the Strata Corporation included a term that 625 B.C. Ltd. would recover the entirety of the funds set aside with accrued interest.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January 2018, Mr. Scordo and Fulton &amp; Company LLP provided 625 B.C. Ltd. with $187,399.99 from the trust funds. The remainder of the funds held in trust consists of the amount charged by Mr. Scordo and Fulton &amp; Company LLP, i.e., $39,056.50 ($9,874.25 + $29,182.25).</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625 B.C. Ltd. is the registered owner in fee simple of a commercial strata unit located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essence of all three proceedings for which Mr. Gosal gave instructions to Mr. Scordo (and Fulton &amp; Company LLP) was to recover the $500,000 advanced in relation to the mortgage then held by G 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current application, Mr. Scordo has sworn a detailed affidavit. At hearing, Mr. Shragge confirmed that there was no issue as to Mr. Scordo's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THE LAW</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Section 79(1)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governing statutory provision is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79(1) A lawyer who is retained to prosecute or defend a proceeding in a court or before a tribunal has a charge against any property that is recovered or preserved as a result of the proceeding for the proper fees, charges and disbursements of or in relation to the proceeding, including counsel fees.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Key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order to obtain a charge under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the lawyer must show that:</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was retained by the client for a proceeding;</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was recovered or preserved as a result of the proceeding;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will not be paid unless the charge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Chouinard v. I.C.B.C.</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2002 BCSC 655</w:t>
        </w:r>
      </w:hyperlink>
      <w:r>
        <w:rPr>
          <w:rFonts w:ascii="arial" w:eastAsia="arial" w:hAnsi="arial" w:cs="arial"/>
          <w:color w:val="000000"/>
          <w:sz w:val="20"/>
          <w:lang w:val="en-US" w:eastAsia="en-US" w:bidi="ar-SA"/>
        </w:rPr>
        <w:t xml:space="preserve"> at para. 10, aff'd </w:t>
      </w:r>
      <w:hyperlink r:id="rId1149" w:history="1">
        <w:r>
          <w:rPr>
            <w:rFonts w:ascii="arial" w:eastAsia="arial" w:hAnsi="arial" w:cs="arial"/>
            <w:i/>
            <w:color w:val="0077CC"/>
            <w:sz w:val="20"/>
            <w:u w:val="single"/>
            <w:shd w:val="clear" w:color="auto" w:fill="FFFFFF"/>
            <w:lang w:val="en-US" w:eastAsia="en-US" w:bidi="ar-SA"/>
          </w:rPr>
          <w:t>2004 BCCA 255</w:t>
        </w:r>
      </w:hyperlink>
      <w:r>
        <w:rPr>
          <w:rFonts w:ascii="arial" w:eastAsia="arial" w:hAnsi="arial" w:cs="arial"/>
          <w:color w:val="000000"/>
          <w:sz w:val="20"/>
          <w:lang w:val="en-US" w:eastAsia="en-US" w:bidi="ar-SA"/>
        </w:rPr>
        <w:t xml:space="preserve">, leave to appeal ref'd </w:t>
      </w:r>
      <w:hyperlink r:id="rId1150" w:history="1">
        <w:r>
          <w:rPr>
            <w:rFonts w:ascii="arial" w:eastAsia="arial" w:hAnsi="arial" w:cs="arial"/>
            <w:i/>
            <w:color w:val="0077CC"/>
            <w:sz w:val="20"/>
            <w:u w:val="single"/>
            <w:shd w:val="clear" w:color="auto" w:fill="FFFFFF"/>
            <w:lang w:val="en-US" w:eastAsia="en-US" w:bidi="ar-SA"/>
          </w:rPr>
          <w:t>[2004] S.C.C.A. No. 309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2011 BCCA 346</w:t>
        </w:r>
      </w:hyperlink>
      <w:r>
        <w:rPr>
          <w:rFonts w:ascii="arial" w:eastAsia="arial" w:hAnsi="arial" w:cs="arial"/>
          <w:color w:val="000000"/>
          <w:sz w:val="20"/>
          <w:lang w:val="en-US" w:eastAsia="en-US" w:bidi="ar-SA"/>
        </w:rPr>
        <w:t>, Justice Newbury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purpose of the lien, which should not be confused with the lien on documents belonging to a solicitor's client, was described by Esson J.A. for this court in </w:t>
      </w:r>
      <w:r>
        <w:rPr>
          <w:rFonts w:ascii="arial" w:eastAsia="arial" w:hAnsi="arial" w:cs="arial"/>
          <w:i/>
          <w:color w:val="000000"/>
          <w:sz w:val="20"/>
          <w:lang w:val="en-US" w:eastAsia="en-US" w:bidi="ar-SA"/>
        </w:rPr>
        <w:t>Wilson, King &amp; Co. v. Lyall (Trustees of)</w:t>
      </w:r>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(1987), 37 D.L.R. (4th) 512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object of s. 100 [of the then </w:t>
      </w:r>
      <w:r>
        <w:rPr>
          <w:rFonts w:ascii="arial" w:eastAsia="arial" w:hAnsi="arial" w:cs="arial"/>
          <w:i/>
          <w:color w:val="000000"/>
          <w:sz w:val="20"/>
          <w:lang w:val="en-US" w:eastAsia="en-US" w:bidi="ar-SA"/>
        </w:rPr>
        <w:t>Barristers and Solicitors Act</w:t>
      </w:r>
      <w:r>
        <w:rPr>
          <w:rFonts w:ascii="arial" w:eastAsia="arial" w:hAnsi="arial" w:cs="arial"/>
          <w:color w:val="000000"/>
          <w:sz w:val="20"/>
          <w:lang w:val="en-US" w:eastAsia="en-US" w:bidi="ar-SA"/>
        </w:rPr>
        <w:t>] is to give the lawyer the extraordinary privilege of a lien in order to protect him against the unfair result of having by his efforts preserved assets for the benefit of all, and of getting no benefit from those efforts. [At 519]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Like its common law predecessor, the statutory lien or charging order is discretionary in the sense that it does not arise as a matter of right upon the satisfaction of the stated prerequisites. Rather, the court must be persuaded it would be "just and proper" to grant the privilege of a lien: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Columbia Securities Ltd.; In Re Freemen &amp; Freeman</w:t>
      </w:r>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(1942) 58 B.C.R. 193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Wilson, King &amp; Co., supra</w:t>
      </w:r>
      <w:r>
        <w:rPr>
          <w:rFonts w:ascii="arial" w:eastAsia="arial" w:hAnsi="arial" w:cs="arial"/>
          <w:color w:val="000000"/>
          <w:sz w:val="20"/>
          <w:lang w:val="en-US" w:eastAsia="en-US" w:bidi="ar-SA"/>
        </w:rPr>
        <w:t xml:space="preserve">, cited and confirmed in </w:t>
      </w:r>
      <w:r>
        <w:rPr>
          <w:rFonts w:ascii="arial" w:eastAsia="arial" w:hAnsi="arial" w:cs="arial"/>
          <w:i/>
          <w:color w:val="000000"/>
          <w:sz w:val="20"/>
          <w:lang w:val="en-US" w:eastAsia="en-US" w:bidi="ar-SA"/>
        </w:rPr>
        <w:t>Hosseini v. Oreck Chernoff</w:t>
      </w:r>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1999 BCCA 386</w:t>
        </w:r>
      </w:hyperlink>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174 D.L.R. (4th) 685</w:t>
        </w:r>
      </w:hyperlink>
      <w:r>
        <w:rPr>
          <w:rFonts w:ascii="arial" w:eastAsia="arial" w:hAnsi="arial" w:cs="arial"/>
          <w:color w:val="000000"/>
          <w:sz w:val="20"/>
          <w:lang w:val="en-US" w:eastAsia="en-US" w:bidi="ar-SA"/>
        </w:rPr>
        <w:t xml:space="preserve"> (B.C.C.A.) at paras. 18-22.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Before exercising its discretion, the court must be satisfied that the solicitor recovered or preserved property as a result of the proceeding in which his or her fees and disbursements arise. The property against which the charge arises or attaches must be the property so recovered or preserved. Thus Donald J.A. stated for this court in </w:t>
      </w:r>
      <w:r>
        <w:rPr>
          <w:rFonts w:ascii="arial" w:eastAsia="arial" w:hAnsi="arial" w:cs="arial"/>
          <w:i/>
          <w:color w:val="000000"/>
          <w:sz w:val="20"/>
          <w:lang w:val="en-US" w:eastAsia="en-US" w:bidi="ar-SA"/>
        </w:rPr>
        <w:t>Hosseini,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lawyer employed to prosecute a claim regarding property seeks to recover that property; a lawyer employed to defend the claim strives to preserve it. The relationship between the words connects the lien with the lawyer's employment. In other words, the lien must relate to what the lawyer was hired to do and what the lawyer accomplished; </w:t>
      </w:r>
      <w:r>
        <w:rPr>
          <w:rFonts w:ascii="arial" w:eastAsia="arial" w:hAnsi="arial" w:cs="arial"/>
          <w:color w:val="000000"/>
          <w:sz w:val="20"/>
          <w:u w:val="single"/>
          <w:lang w:val="en-US" w:eastAsia="en-US" w:bidi="ar-SA"/>
        </w:rPr>
        <w:t>it can only go against the property that the lawyer recovered or preserved as the case may be</w:t>
      </w:r>
      <w:r>
        <w:rPr>
          <w:rFonts w:ascii="arial" w:eastAsia="arial" w:hAnsi="arial" w:cs="arial"/>
          <w:color w:val="000000"/>
          <w:sz w:val="20"/>
          <w:lang w:val="en-US" w:eastAsia="en-US" w:bidi="ar-SA"/>
        </w:rPr>
        <w:t>. [At para. 26; emphasis added by Newbury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fact that a lawyer's account has not yet been reviewed by the Registrar does not defeat a lawyer's charge under s. 79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Gundersen v. Volrich</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[1986] B.C.J. No. 1390</w:t>
        </w:r>
      </w:hyperlink>
      <w:r>
        <w:rPr>
          <w:rFonts w:ascii="arial" w:eastAsia="arial" w:hAnsi="arial" w:cs="arial"/>
          <w:color w:val="000000"/>
          <w:sz w:val="20"/>
          <w:lang w:val="en-US" w:eastAsia="en-US" w:bidi="ar-SA"/>
        </w:rPr>
        <w:t xml:space="preserve"> (S.C.) at para. 23, aff'd </w:t>
      </w:r>
      <w:hyperlink r:id="rId1156" w:history="1">
        <w:r>
          <w:rPr>
            <w:rFonts w:ascii="arial" w:eastAsia="arial" w:hAnsi="arial" w:cs="arial"/>
            <w:i/>
            <w:color w:val="0077CC"/>
            <w:sz w:val="20"/>
            <w:u w:val="single"/>
            <w:shd w:val="clear" w:color="auto" w:fill="FFFFFF"/>
            <w:lang w:val="en-US" w:eastAsia="en-US" w:bidi="ar-SA"/>
          </w:rPr>
          <w:t>1989 CanLII 2677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claim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defeat a charge under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It is a matter that the Registrar may consider on a review of the lawyer's account: </w:t>
      </w:r>
      <w:r>
        <w:rPr>
          <w:rFonts w:ascii="arial" w:eastAsia="arial" w:hAnsi="arial" w:cs="arial"/>
          <w:i/>
          <w:color w:val="000000"/>
          <w:sz w:val="20"/>
          <w:lang w:val="en-US" w:eastAsia="en-US" w:bidi="ar-SA"/>
        </w:rPr>
        <w:t>Fitzgibbon v. Piters</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2012 BCCA 269</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625 B.C. LTD.'S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625 B.C. Ltd. does not dispute that it retained Fulton &amp; Company LLP and Mr. Scordo.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625 B.C. Ltd.'s position is that with respect to both of the outstanding accounts, the applicants have not shown that the accounts will not be paid if the charge sought is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With respect to the Conspiracy Action account, 625 B.C. Ltd. also says that property was not recovered or preserved as a result of the Conspiracy Action. 625 B.C. Ltd. submits that the language of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refers to property "that is recovered or preserved as a result of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proceeding" (emphasis added). 625 B.C. Ltd. says that the funds were recovered or preserved as a result of the Instant Action and not the Conspiracy Acton.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ANALYSIS</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Likelihood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Despite the well-established relationship Mr. Scordo previously had with Mr. Gosal and various corporate entities he controlled or managed, I am satisfied that Mr. Scordo (and Fulton &amp; Company LLP) will not be paid without the sought charge under s. 79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First, it is apparent that the relationship Mr. Scordo and Mr. Gosal once enjoyed has ruptured. As noted, in October 2015, 625 B.C. Ltd. brought an action against Mr. Scordo and Fulton &amp; Company LLP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625 B.C. Ltd.'s pleadings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relate to Mr. Scordo's services in connection with the Foreclosure Proceeding and the strata corporation's past claim of approximately $216,000 in strata fees arrears (including related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 the Conspiracy Action account and Instant Action account were rendered in July 2013, over five years ago. An outstanding account over five years old is rarely paid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Third, the claim alleging unpaid strata fees was resolved this past December without any successful claim to the funds held in trust in accordance with the October 13, 2010 order nisi. With a successful resolution, it would be more readily expected that payment would be forthcoming or security provided, pending the Registrar's review of Mr. Scordo's (and Fulton &amp; Company LLP's)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Fourth, 625 B.C. Ltd. has not proceeded with the review before the Registrar of Mr. Scordo's (and Fulton &amp; Company LLP's) accounts. Mr. Scordo reset the review for June 9, 2016 but then agreed to a request by 625 B.C. Ltd. to adjourn the hearing so that it could consider the matter further. 625 B.C. Ltd. has not taken steps to bring the review to hearing before the Registrar. As noted above, by December 16, 2014, 625 B.C. Ltd. planned to have all of the applicants' accounts reviewed, including those accounts which had been paid: See </w:t>
      </w:r>
      <w:r>
        <w:rPr>
          <w:rFonts w:ascii="arial" w:eastAsia="arial" w:hAnsi="arial" w:cs="arial"/>
          <w:i/>
          <w:color w:val="000000"/>
          <w:sz w:val="20"/>
          <w:lang w:val="en-US" w:eastAsia="en-US" w:bidi="ar-SA"/>
        </w:rPr>
        <w:t>Bull, Housser &amp; Tupper v. Mr. T. International Agencies Ltd.</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1999 BCCA 427</w:t>
        </w:r>
      </w:hyperlink>
      <w:r>
        <w:rPr>
          <w:rFonts w:ascii="arial" w:eastAsia="arial" w:hAnsi="arial" w:cs="arial"/>
          <w:color w:val="000000"/>
          <w:sz w:val="20"/>
          <w:lang w:val="en-US" w:eastAsia="en-US" w:bidi="ar-SA"/>
        </w:rPr>
        <w:t xml:space="preserve"> as to the review of a lawyer's account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Fifth, while I recognize that 625 B.C. Ltd. holds a commercial strata lot, there is no assurance that claims will not be brought by others against 625 B.C. Ltd. of which Mr. Scordo and Mr. Gosal are unaware. I also note that Mr. Gosal's spouse owns all the outstanding shares in the capital of 625 B.C. Ltd. Accordingly, Mr. Gosal's authority to continue to bind 625 B.C. Ltd is subject to his spouse's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sum, without a charge under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the Court finds that Mr. Scordo (and Fulton &amp; Company LLP) will not be paid for either of the outstanding accounts.</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Property Recovered or Preserved under the Conspiracy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the essence of all three proceedings for which Mr. Gosal gave instructions to Mr. Scordo (and Fulton &amp; Company LLP) was to recover the $500,000 that had been loaned.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a client's perspective, whether a retainer results in one action or three actions is immaterial. The client seeks success and it is immaterial to the client whether it is a one-battle front or a three-battle front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case at bar, Mr. Scordo was retained to recover the funds that had been loaned and were secured by the mortgage. The Foreclosure Proceeding, the Conspiracy Action, and the Instant Action are intertwined and resulted in the full recovery of 625 B.C. Ltd.'s funds. Such is evident from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 December 21, 2017 final resolution in the Instant Action released the funds held in trust under the October 13, 2010 order nisi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the Conspiracy Action was directed at "recovering the loan amount". In the Amended Notice of Civil Claim in the Conspiracy Action, the following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CONCISE SUMMARY OF NATURE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commencing on or about October 17, 2008 to the present date the Defendants have unlawfully conspired with each other with the sole or predominant purpose of injury [to] York and 625536 by delaying, hindering or defrauding York and 625536 from recovering the loan amount and enforcing the rights and remedies under the Mortgage and the Assignment of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Third, one of the pleaded conspirators in the Conspiracy Action was Mr. H. Gill. Mr. H. Gill is also a defendant in the Instant Action. In the Instant Action, it is pleaded that Mr. H. Gill is a strata council member and that he and other council members were acting on behalf of the strata corporation. The legal basis for the Instant Acton is pleaded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of fraud and deceit, as the Plaintiff' claims that the Defendants, and each of them, falsely represented to the owner of the Strata Lots 105 and 106 and to the subsequent purchaser that an exorbitant amount of monies were in fact owing, therefore coercing the Plaintiff under duress to consent to the deposit of funds into trust, thereby depriving the Plaintiff of the use of its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Mr. H. Gill as a common defendant in both the Conspiracy Action and the Instant Action, there is a clear pleaded connection, especially having regard to the seriousness of the pleaded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Fourth, Mr. Sukhraj Parmar, the eventual purchaser of the strata lots, was one of the defendants in the Conspiracy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short, the Conspiracy Action, the Instant Action, and the Foreclosure Proceeding are intertwined. As noted, the December 21, 2017 settlement of the Instant Action resulted in the release of funds held in trust pursuant to the October 13, 2010 order nisi made in the Foreclosure Proceeding. The sale proceeds came from Mr. Parmar, a defendant in the Conspiracy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noted,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refers to "the" proceeding. The question becomes what is the proceeding. Neither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define "proceeding".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define "proceeding"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 means an action, a petition proceeding and a requisition proceeding and includes any other suit, cause, matter, stated case under Rule 18-2 or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has been stated many times, statutory interpretation is informed by the "modern principle". With respect to the modern principle, Chief Justice McLachlin and Justice Major in </w:t>
      </w:r>
      <w:r>
        <w:rPr>
          <w:rFonts w:ascii="arial" w:eastAsia="arial" w:hAnsi="arial" w:cs="arial"/>
          <w:i/>
          <w:color w:val="000000"/>
          <w:sz w:val="20"/>
          <w:lang w:val="en-US" w:eastAsia="en-US" w:bidi="ar-SA"/>
        </w:rPr>
        <w:t>Canada Trustco Mortgage Co. v. Canada</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2005 SCC 54</w:t>
        </w:r>
      </w:hyperlink>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It has been long established as a matter of statutory interpretation that "the words of an Act are to be read in their entire context and in their grammatical and ordinary sense harmoniously with the scheme of the Act, the object of the Act and the intention of Parliament"; see </w:t>
      </w:r>
      <w:r>
        <w:rPr>
          <w:rFonts w:ascii="arial" w:eastAsia="arial" w:hAnsi="arial" w:cs="arial"/>
          <w:i/>
          <w:color w:val="000000"/>
          <w:sz w:val="20"/>
          <w:lang w:val="en-US" w:eastAsia="en-US" w:bidi="ar-SA"/>
        </w:rPr>
        <w:t>65303 British Columbia Ltd. v. Canada</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[1999] 3 S.C.R. 804</w:t>
        </w:r>
      </w:hyperlink>
      <w:r>
        <w:rPr>
          <w:rFonts w:ascii="arial" w:eastAsia="arial" w:hAnsi="arial" w:cs="arial"/>
          <w:color w:val="000000"/>
          <w:sz w:val="20"/>
          <w:lang w:val="en-US" w:eastAsia="en-US" w:bidi="ar-SA"/>
        </w:rPr>
        <w:t>, at para. 50. The interpretation of a statutory provision must be made accordingly to a textual, contextual and purposive analysis to find a meaning that is harmonious with the Act as a whole. When the words of a provision are precise and unequivocal, the ordinary meaning of the words play a dominant role in the interpretive process. On the other hand, where the words can support more than one reasonable meaning, the ordinary meaning of the words plays a lesser role. The relative effects of ordinary meaning, context and purpose on the interpretive process may vary, but in all cases the court must seek to read the provisions of an Act as a harmonious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are related enactments. As noted by E.A. Driedger,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2d ed. (Toronto: Butterworths, 1983) at 158, Lord Mansfield in </w:t>
      </w:r>
      <w:r>
        <w:rPr>
          <w:rFonts w:ascii="arial" w:eastAsia="arial" w:hAnsi="arial" w:cs="arial"/>
          <w:i/>
          <w:color w:val="000000"/>
          <w:sz w:val="20"/>
          <w:lang w:val="en-US" w:eastAsia="en-US" w:bidi="ar-SA"/>
        </w:rPr>
        <w:t>R. v. Loxdale</w:t>
      </w:r>
      <w:r>
        <w:rPr>
          <w:rFonts w:ascii="arial" w:eastAsia="arial" w:hAnsi="arial" w:cs="arial"/>
          <w:color w:val="000000"/>
          <w:sz w:val="20"/>
          <w:lang w:val="en-US" w:eastAsia="en-US" w:bidi="ar-SA"/>
        </w:rPr>
        <w:t xml:space="preserve"> (1758), 1 Burr 445 at 447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are different statutes </w:t>
      </w:r>
      <w:r>
        <w:rPr>
          <w:rFonts w:ascii="arial" w:eastAsia="arial" w:hAnsi="arial" w:cs="arial"/>
          <w:i/>
          <w:color w:val="000000"/>
          <w:sz w:val="20"/>
          <w:lang w:val="en-US" w:eastAsia="en-US" w:bidi="ar-SA"/>
        </w:rPr>
        <w:t>in pari materia</w:t>
      </w:r>
      <w:r>
        <w:rPr>
          <w:rFonts w:ascii="arial" w:eastAsia="arial" w:hAnsi="arial" w:cs="arial"/>
          <w:color w:val="000000"/>
          <w:sz w:val="20"/>
          <w:lang w:val="en-US" w:eastAsia="en-US" w:bidi="ar-SA"/>
        </w:rPr>
        <w:t xml:space="preserve"> though made at different times, or even expired, and not referring to each other, they shall be taken and construed together, as one system, and as explanatory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Oxford English Dictionary, 2d ed. (Oxford: Clarendon Press, 1989) defines proceeding to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carrying on of an action or series of actions; action, course of action; conduct, behaviour: = PROCEDURE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particular action or course of action; a piece of conduct or behaviour; a transaction: = PROCEDURE I b. Most usually in </w:t>
      </w:r>
      <w:r>
        <w:rPr>
          <w:rFonts w:ascii="arial" w:eastAsia="arial" w:hAnsi="arial" w:cs="arial"/>
          <w:i/>
          <w:color w:val="000000"/>
          <w:sz w:val="20"/>
          <w:lang w:val="en-US" w:eastAsia="en-US" w:bidi="ar-SA"/>
        </w:rPr>
        <w:t>pl</w:t>
      </w:r>
      <w:r>
        <w:rPr>
          <w:rFonts w:ascii="arial" w:eastAsia="arial" w:hAnsi="arial" w:cs="arial"/>
          <w:color w:val="000000"/>
          <w:sz w:val="20"/>
          <w:lang w:val="en-US" w:eastAsia="en-US" w:bidi="ar-SA"/>
        </w:rPr>
        <w:t>.: Doings, actions,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reading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the purpose of such a provision must be given proper weight. As noted above, Esson J.A. (as he then was) in </w:t>
      </w:r>
      <w:r>
        <w:rPr>
          <w:rFonts w:ascii="arial" w:eastAsia="arial" w:hAnsi="arial" w:cs="arial"/>
          <w:i/>
          <w:color w:val="000000"/>
          <w:sz w:val="20"/>
          <w:lang w:val="en-US" w:eastAsia="en-US" w:bidi="ar-SA"/>
        </w:rPr>
        <w:t>Wilson, King &amp; Co</w:t>
      </w:r>
      <w:r>
        <w:rPr>
          <w:rFonts w:ascii="arial" w:eastAsia="arial" w:hAnsi="arial" w:cs="arial"/>
          <w:color w:val="000000"/>
          <w:sz w:val="20"/>
          <w:lang w:val="en-US" w:eastAsia="en-US" w:bidi="ar-SA"/>
        </w:rPr>
        <w:t>. stated that the object "is to give the lawyer the extraordinary privilege of a lien in order to protect him against the unfair result of having by his efforts preserved assets for the benefit of all, and of getting no benefit for those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Having regard to the purpose of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"proceeding" should be interpreted as a course of action. In other words, a client who is a mortgagee may retain a lawyer to "get my money back". It does not matter whether the lawyer, using his or her professional skills and judgment, requires or becomes involved in one proceeding or three proceedings (as "proceeding" is defined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these circumstances, a purposive analysis favours the broader meaning of proceeding over the definition of proceeding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would follow from the application of Lord Mansfield's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Shragge relied on the reasons of our Court of Appeal in </w:t>
      </w:r>
      <w:r>
        <w:rPr>
          <w:rFonts w:ascii="arial" w:eastAsia="arial" w:hAnsi="arial" w:cs="arial"/>
          <w:i/>
          <w:color w:val="000000"/>
          <w:sz w:val="20"/>
          <w:lang w:val="en-US" w:eastAsia="en-US" w:bidi="ar-SA"/>
        </w:rPr>
        <w:t>Walker v. Saunders</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[1985] 1 W.W.R. 743</w:t>
        </w:r>
      </w:hyperlink>
      <w:r>
        <w:rPr>
          <w:rFonts w:ascii="arial" w:eastAsia="arial" w:hAnsi="arial" w:cs="arial"/>
          <w:color w:val="000000"/>
          <w:sz w:val="20"/>
          <w:lang w:val="en-US" w:eastAsia="en-US" w:bidi="ar-SA"/>
        </w:rPr>
        <w:t xml:space="preserve"> (B.C.C.A.) and argued that the scope of the charge should be narrowly construed where there is more than one related proceeding.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the initial proceedings resulted in the discovery of the property at issue. The subsequent proceeding (the declaratory action) related to the recovery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matter at bar, all three proceedings relate to the recovery of the property. The language of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is "recovered or preserved". On this basis, with respect, the matter at bar is readily distinguishable from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None of the three proceedings involved the discovery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the Foreclosure Proceeding, the Conspiracy Action, and the Instant Action are intertwined to constitute a proceeding for the purposes of s. 79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In other words, as a result of the "course of action", which included the Conspiracy Action to which the first account relates, the funds were recovered. Accordingly, the Conspiracy Action account also meets the requirements of s. 79(1)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JUST AND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it is just and proper to grant the privilege of the sought charge. The recovery of the funds was not "merely technical" nor is there any other factor that would militate against granting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Court declares that Fulton &amp; Company LLP is entitled to and has a charge of $39,056.50 pursuant to s. 79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against property recovered or preserved for 625536 B.C. Ltd. and currently held in Fulton &amp; Company LLP's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foregoing declaration does not affect 625536 B.C. Ltd.'s right to review the applicants' accounts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estimated in advance that the hearing of this matter would require two hours. The hearing took roughly one afternoon and two 55-minute 9:00 a.m.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will award the applicants costs at Scale B as if based on a one-day hearing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2"/>
          <w:headerReference w:type="default" r:id="rId1163"/>
          <w:footerReference w:type="even" r:id="rId1164"/>
          <w:footerReference w:type="default" r:id="rId1165"/>
          <w:headerReference w:type="first" r:id="rId1166"/>
          <w:footerReference w:type="first" r:id="rId1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68" w:history="1">
        <w:r>
          <w:rPr>
            <w:rFonts w:ascii="arial" w:eastAsia="arial" w:hAnsi="arial" w:cs="arial"/>
            <w:b/>
            <w:bCs/>
            <w:i/>
            <w:color w:val="0077CC"/>
            <w:kern w:val="32"/>
            <w:sz w:val="28"/>
            <w:szCs w:val="32"/>
            <w:u w:val="single"/>
            <w:shd w:val="clear" w:color="auto" w:fill="FFFFFF"/>
            <w:lang w:val="en-US" w:eastAsia="en-US" w:bidi="ar-SA"/>
          </w:rPr>
          <w:t>Barker v. 100 Mile Realty Ltd., [2000] B.C.J. No. 417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Hunter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31 and February 1 - 4,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23, 2000.</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23302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417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322</w:t>
      </w:r>
    </w:p>
    <w:p>
      <w:pPr>
        <w:spacing w:before="120" w:line="260" w:lineRule="atLeast"/>
        <w:rPr>
          <w:lang w:val="en-US" w:eastAsia="en-US" w:bidi="ar-SA"/>
        </w:rPr>
      </w:pPr>
      <w:r>
        <w:rPr>
          <w:rFonts w:ascii="arial" w:eastAsia="arial" w:hAnsi="arial" w:cs="arial"/>
          <w:color w:val="000000"/>
          <w:sz w:val="20"/>
          <w:lang w:val="en-US" w:eastAsia="en-US" w:bidi="ar-SA"/>
        </w:rPr>
        <w:t>Between Cheryl Patricia Barker, plaintiff, and 100 Mile Realty Ltd. and Thomas Sabo,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0"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5" w:name="Keywords_45"/>
      <w:bookmarkEnd w:id="305"/>
      <w:r>
        <w:rPr>
          <w:rFonts w:ascii="arial" w:eastAsia="arial" w:hAnsi="arial" w:cs="arial"/>
          <w:b/>
          <w:color w:val="000000"/>
          <w:sz w:val="20"/>
          <w:lang w:val="en-US" w:eastAsia="en-US" w:bidi="ar-SA"/>
        </w:rPr>
        <w:t xml:space="preserve">Brokers — Duties of broker to principal — Real estate brokers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duty of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06" w:name="Case Summary_44"/>
            <w:bookmarkEnd w:id="30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the vendor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arising from the sale of her land. She entered into a listing agreement with the real estate company. She eventually agreed to sell the land for a price just below the list price. The purchaser decided to log the property a number of months after the sale. The vendor became concerned that the sale price had not reflected the value of the merchantable timber on the property. The realtor had explained how he determined the value of the property and how he had valued the timber. He also suggested that she obtain a timber cruise of the property, since he was not an expert. She declined. The price of timber had increased significantly in value between the time that the list price had been agreed to and the time that the purchasers began to log the property. </w:t>
            </w:r>
            <w:r>
              <w:rPr>
                <w:lang w:val="en-US" w:eastAsia="en-US" w:bidi="ar-SA"/>
              </w:rPr>
              <w:cr/>
            </w:r>
          </w:p>
          <w:p>
            <w:pPr>
              <w:spacing w:before="120" w:line="260" w:lineRule="atLeast"/>
              <w:ind w:left="240"/>
              <w:jc w:val="both"/>
              <w:rPr>
                <w:lang w:val="en-US" w:eastAsia="en-US" w:bidi="ar-SA"/>
              </w:rPr>
            </w:pPr>
            <w:bookmarkStart w:id="307" w:name="Holdings of Court_38"/>
            <w:bookmarkEnd w:id="307"/>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Where the evidence conflicted, the realtor's evidence was preferred. The vendor failed to satisfy the court that the realtor or real estate broker had been negligent or that they had breached their fiduciary duty. Further she failed to prove she had suffered any damages. </w:t>
            </w:r>
            <w:r>
              <w:rPr>
                <w:lang w:val="en-US" w:eastAsia="en-US" w:bidi="ar-SA"/>
              </w:rPr>
              <w:cr/>
            </w:r>
          </w:p>
          <w:p>
            <w:pPr>
              <w:rPr>
                <w:lang w:val="en-US" w:eastAsia="en-US" w:bidi="ar-SA"/>
              </w:rPr>
            </w:pPr>
          </w:p>
        </w:tc>
      </w:tr>
    </w:tbl>
    <w:p>
      <w:pPr>
        <w:jc w:val="both"/>
        <w:rPr>
          <w:lang w:val="en-US" w:eastAsia="en-US" w:bidi="ar-SA"/>
        </w:rPr>
      </w:pPr>
      <w:bookmarkStart w:id="308" w:name="Counsel_45"/>
      <w:bookmarkEnd w:id="30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1"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James A. Horne, Q.C., for the plaintiff. Gregory C. Blanchard, for the defendants.</w:t>
      </w:r>
      <w:r>
        <w:rPr>
          <w:lang w:val="en-US" w:eastAsia="en-US" w:bidi="ar-SA"/>
        </w:rPr>
        <w:cr/>
      </w:r>
    </w:p>
    <w:p>
      <w:pPr>
        <w:spacing w:after="240"/>
        <w:rPr>
          <w:lang w:val="en-US" w:eastAsia="en-US" w:bidi="ar-SA"/>
        </w:rPr>
      </w:pPr>
      <w:bookmarkStart w:id="309" w:name="Judgment_45"/>
      <w:bookmarkEnd w:id="309"/>
      <w:r>
        <w:pict>
          <v:line id="_x0000_s1262" style="position:absolute;z-index:251807744"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A Corrigendum was released by the Court March 29, 2000.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0" w:name="HUNTER J."/>
            <w:bookmarkEnd w:id="310"/>
            <w:r>
              <w:rPr>
                <w:rFonts w:ascii="arial" w:eastAsia="arial" w:hAnsi="arial" w:cs="arial"/>
                <w:b/>
                <w:color w:val="000000"/>
                <w:sz w:val="30"/>
                <w:lang w:val="en-US" w:eastAsia="en-US" w:bidi="ar-SA"/>
              </w:rPr>
              <w:t>HUNTER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Barker, sues the defendants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arising from the sale of her 145-acre parcel of land located near 100 Mile House. The defendant company (100 Mile Realty) was the agent on the sale, the defendant, Sabo, was the real estate salesman associated with 100 Mile Realty and who introduced the purchaser to Blue Ridge Properties Ltd. ("Blue Ridge") out of which negotiations proceeded and the sale took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Barker and her husband Victor moved to 100 Mile House from the Vancouver area in 1979 and bought this property in May of that year. It was then vacant land without services. In 1980 they constructed a log home on the property which they moved into later that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Wayne Walker, a principal shareholder in 100 Mile Realty, and his wife, Marie, were good friends of Ms. Barker and her husband at the coast. The Walkers moved to 100 Mile House in the summer of 1981 and bought a quarter section of land adjacent to the Barker property that year. They saw a lot of each other over the years in 100 Mile House. The Walkers stayed with the Barkers over Christmas of 1979 in 100 Mile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1993 the Barkers separated. Late that year they agreed to divide the family assets which included the husband retaining his log home construction business and Ms. Barker retaining the 145 parcel with the log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Walker and Mr. Barker had worked together as officers on the Vancouver City Police force. When Mr. Barker moved to 100 Mile House he set up the log home construction business. Mr. Walker became a logging contractor, mainly working with Weldwood. He described himself as an independent contractor, negotiating prices with Weldwood to construct landings and roads, cut trees, and load the logs on trucks. This work was done on Crown lands over which Weldwood had timber cutting rights. Walker was not involved in the purchase or sale of timber.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some dispute as to how the property came to be listed with 100 Mile Realty. Ms. Barker said that on Christmas Eve 1993 she and Jim Caddy (her boyfriend at the time) met socially with Mr. and Mrs. Walker for the evening. She said Walker had recently set up 100 Mile Realty and that he really needed the listing. She said that he raised the topic that evening in social conversation and she said Walker knew that she and her husband had separated and might be considering the sale of this property, especially as she was retaining this property in the divorce settlement. She said that she told Walker then that she was not interested but he responded that he would look for a buyer who would lease back the property to her for two years. She told him that sounded like a good idea because she did not want to move until June of 1996 when her youngest daughter would graduate from high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Walker's evidence is somewhat different although, I do not think much turns on that. He says Ms. Barker, at that social gathering, expressed concern as to where the real estate market would be in two years. It was strong at the time but she was concerned that the market might drop and she wanted to maximize her return by selling at the right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Barker said that Walker told her at that time that in his opinion the market value of her property was $225,000. Walker does not recall her asking about market value or him estimating market value at that time but agreed that he may have forgotten.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Walker concluded from that conversation that Ms. Barker was then interested in selling provided she could stay on the property until June of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Barker's evidence was that Walker was persistent from some time in 1993 in attempting to get her to list with him, that he told her that he needed the listing because he was starting up a new business and that it would look good if he had her listing together with a photograph of her property in his office window. Walker denies all of that and says that when he set up this new business he took with him all the listings he had with the real estate firm with which he was previously working and did not need to have the listing of Ms. Barker's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agree that Walker telephoned her between Christmas and New Years of 1993 to ask that he be allowed to show her property to people who were thinking of moving to the area, but not right away, and would therefore be interested in leasing back to her. She agreed and they visited the property but no offer was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February of 1994 Ms. Barker says she relented and signed a listing agreement. Walker says she asked him to list her property. Ms. Barker says that he had told her at Christmas of 1993 that he thought her property had a market value of $225,000. He prepared the listing contract showing a listing figure of $259,000. She said he did not explain how he determined the listing price and she assumed it was a real estate tactic, that is, listing the property at an amount higher than market value to leave room to negotiate with prospective purchasers. Ms. Barker said that at no time did Walker discuss with her the value of timber on her property nor suggest a timber evaluation. She said she assumed he had considered the value of the timber as he had been a logging 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Barker did not see advertisements of the property but within a few days the defendant, Sabo, with a principal of Blue Ridge Properties Ltd. came to the property and she says spent 45 minutes walking over the property and 5 minutes examining her home, and then departed. A few days later an offer to purchase was made by Blue Ridge for $250,000 with a lease back to her to June of 1996. She said she was pleased as it was $25,000 more than Walker had told her it was worth. She and her husband were not then in contact with each other and therefore did not discuss the listing price or market value or this offer. He remained on title only to avoid Land Titles disbursement charges that would be attracted to a transfer of his interest to her with the understanding that he would sign transfer documents when the property was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Walker suggested that she make a counter-offer in the amount of the list price, which she did, and the property was sold for $258,000. She agreed that Walker told her, when the transfer papers were signed, that the purchaser intended to log the property and that it would be noisy and messy. Her recollection was that Blue Ridge logged the property in the latter part of the year, although that activity took place usually while she was away from the property at work. The sale if this property to Blue Ridge completed in June 1994. The property was logged by Blue Ridge between October and December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Barker decided to move off the property before the lease expired in June of 1996, in fact in June of 1995. At the same time Blue Ridge sold the property to Mr. Lightfoot for $220,000 and Mr. Lightfoot did some further logging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June of 1995 Ms. Barker bought a 20-acre parcel near 100 Mile House and moved onto that property. Just after the sale of the 145 acre parcel in early 1994 Ms. Barker had asked Mr. and Mrs. Walker if they would recommend how she might invest the sale proceeds and they suggested she buy a rental house in 100 Mile House so that she could continue to own real estate but with the hedge, if prices fell, of having property generating income. 100 Mile Realty received a commission on her purchase of that rental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Walker's wife Maria introduced Ms. Barker to the 20-acre parcel some time in early 1995 and took her for a viewing of the property. That property was at the time listed under a Multiple Listing contract with another real estate firm. Mrs. Walker was then working for 100 Mile Realty. The MLS listing expired and Ms. Barker was later approached by the owner of the 20 acre parcel and she subsequently agreed to purchase from him. Eventually a real estate commission was paid on the MLS listing to the listing agent and to Ms. Walker as the realtor who had introduced Ms. Barker to the property, that having occurred before the listing agreement expired.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February or March of 1995 Ms. Barker became concerned that the sale price of the 145-acre parcel did not in her opinion reflect the value of merchantable timber on that property. She reached this conclusion after talking to another realtor and making other inquiries. Her friend Mr. Caddy (now her husband) made inquiries of a local mill as to the value of the timber which had been logged off the property by Blue 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well, Ms. Barker knew that her former husband and Mr. Walker had talked of logging the property in the 1980's although she concedes that they concluded that profit from logging at that time would not have been significant and therefore decided against doing so then.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145 acre parcel is located 4 1/2 miles from 100 Mile House and 1 1/2 miles off the highway on an easement road which runs through five or six properties. That easement is maintained for the owners of those properties by Mr. Walker (he being one of the property owners). He purchased a grader which he uses to plough snow off this road in the winter and to grade the road in the summer.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Walker's description of how the listing price was determined is in conflict with Ms. Barker's. I will summarize his evidence. Walker said she asked him to list the property for sale. He then checked his computer for recent sales of similar properties and decided on a range of value between $175,000 and $200,000 for the house and property. He knew there was timber on the property - he estimated there were 40 to 50 loads of logs that could be taken from the property, and while he did not regard himself as knowledgeable on wood prices, he estimated a gross value of $2,000 per load based on 37 m[cubed] on each load. He then deducted logging costs of approximately 50% and estimated the net value of the timber at $50,000. Using the high side of his estimate of the value of the house and property at $200,000 and the timber at the net figure of $50,000, he arrived at a total of $250,000. He noted that the provincial assessed value of the property for 1993, the last provincial assessment available, was $113,600 for land and improvements. Before Ms. Barker signed the listing agreement, Walker explained all of this to her and told her that his figure on timber was just an estimate. He also told her that because he was not an expert on timber values, she might like to obtain a timber cruise of the property but that it would be at her cost. He said that she decided against a timber cruise.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Walker's evidence that he went through the above procedure to reach a value of $250,000 before determining a listing price of $259,000. Even if I accept Ms. Barker's evidence that she listed the property with Walker to do him a favour because he had "pestered her to do so" for a period of time, I am satisfied that she did so because she felt it was the thing to do, that is, to list the property for sale with the hope that she could sell in the strong real estate market which then existed and with the condition that she be allowed to remain on the property until her youngest daughter finished school in June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as well that I should not draw an adverse inference from the failure of the defendants to call Mrs. Walker as a witness. There is really no dispute of significance as to what was said at the social get-together on Christmas Eve 1993. They agreed that the property was discussed. Ms. Barker says she asked Walker for an opinion on market value at that time. Walker does not remember that but does not deny it. Walker does remember Ms. Barker asking what the real estate value would be when she wanted to move in two years time. I have concluded that she did make that inquiry. The evidence that she allowed Walker to show the property between Christmas and New Years to a couple who were interested in buying property at the time but to take possession at a later date, supports that conclusion, and her evidence was that she did not want to move for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as well that before or at the time that she signed the listing contract, that Walker explained how he arrived at the listing price. Ms. Barker was asked about this at her examination for discovery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Q Did you have any conversation at all with Mr. Walker about the price of two hundred and fifty-nine thousand?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don't believe I did. I think I just accepted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Is it possible that you had a conversation and you simply don't recall 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is possible.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 Is it possible that Mr. Walker explained to you how he arrived at that figure?</w:t>
      </w:r>
    </w:p>
    <w:p>
      <w:pPr>
        <w:spacing w:before="120" w:line="260" w:lineRule="atLeast"/>
        <w:ind w:left="720"/>
        <w:rPr>
          <w:lang w:val="en-US" w:eastAsia="en-US" w:bidi="ar-SA"/>
        </w:rPr>
      </w:pPr>
      <w:r>
        <w:rPr>
          <w:rFonts w:ascii="arial" w:eastAsia="arial" w:hAnsi="arial" w:cs="arial"/>
          <w:color w:val="000000"/>
          <w:sz w:val="20"/>
          <w:lang w:val="en-US" w:eastAsia="en-US" w:bidi="ar-SA"/>
        </w:rPr>
        <w:t>A Not at this time. He did when he told me the two hundred and twenty-five.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This was put to her at trial and her response was that she did not think it happened. She agreed it was possible, but did not remember it. Certainly one would expect a realtor who is suggesting the listing price to explain it to the intending vendor. It was not a decision he was to make, but rather a recommendation for her to consider.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significant as well to note that one of the features shown in the MLS data advertised through the MLS distribution service, was that the property had timber on it. This tends to confirm Walker's recognition that the property had timber on it which may have value to a prospective purchaser, for a variety of reasons, depending on the interest of that prospective purchaser. I have concluded that Walker's discussion with Ms. Barker at or before the signing of the listing contract included reference to the timber, his estimate of its value, and a suggestion that if she had any concerns about his estimate on timber value, especially as he had no expertise in valuing timber, that she obtain a timber cruise, but at her cost. I am satisfied as well that she decided against obtaining a timber cruise.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cannot overlook the fact of her own knowledge of merchantable timber on the property. She knew that her husband and Walker had discussed in the past the logging of this property. She knew it had some value. She saw her neighbours logging their properties, knew what a timber cruise was, and knew there were people around who were qualified to express opinions on timber values. Even if I were to conclude that Walker did not suggest that she obtain a timber cruise, she had sufficient knowledge from her own experience to recognize that such services were available and chose not to make that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submitted on behalf of Ms. Barker that Walker saw an opportunity to generate commissions on a quick sale of her property and commissions that might flow from the subsequent purchase by her of other properties. She claims that his persistence in pursuing a listing is explained by him having just set up his own real estate firm and his need to generate income and that the court should infer that Walker was looking after himself and his business rather than the best interests of Ms. Barker.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submitted as well that another reason for accepting Ms. Barker's version of events was that this transaction involved the most significant asset which she retained from the breakup of her marriage, and therefore the circumstances would stand out in her mind whereas the transaction was just one of many in which Walker was involved. I think, however, the same reasoning can be applied to Walker's ability to recall these events. He is selling property owned by two very good friends, being sold by them because their marriage has come to an end, being people who lived on adjoining property to Walker, and where a term of the sale was to include Ms. Barker continuing to live on the property for two years. Those are unique circumstances which I have concluded stood out in his mind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summary therefore I have accepted the evidence of Mr. Walker over that of Ms. Barker where it conflicts. In reaching that conclusion I am satisfied that she was truthful in describing her perception of these events. There are circumstances which may have clouded her perception. Her marriage breakup had been particularly difficult and her husband had spent long periods away from home. I expect there was significant emotional upset for her surrounding those events. In early 1995 she learned that Blue Ridge had taken many loads of timber off the property yielding gross proceeds exceeding $134,000 and obviously concluded that she had not received a fair price for her property. She blamed Walker for that and I think it is likely that she did not realize that timber prices had increased substantially between the time she agreed to sell in early March 1994 and the time when Blue Ridge conducted the logging in the months of October through December of that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court in Phelan v. Realty World-Empire Realty Ltd. </w:t>
      </w:r>
      <w:hyperlink r:id="rId1169" w:history="1">
        <w:r>
          <w:rPr>
            <w:rFonts w:ascii="arial" w:eastAsia="arial" w:hAnsi="arial" w:cs="arial"/>
            <w:i/>
            <w:color w:val="0077CC"/>
            <w:sz w:val="20"/>
            <w:u w:val="single"/>
            <w:shd w:val="clear" w:color="auto" w:fill="FFFFFF"/>
            <w:lang w:val="en-US" w:eastAsia="en-US" w:bidi="ar-SA"/>
          </w:rPr>
          <w:t>(1994) 38 R.P.R. (2d) 128</w:t>
        </w:r>
      </w:hyperlink>
      <w:r>
        <w:rPr>
          <w:rFonts w:ascii="arial" w:eastAsia="arial" w:hAnsi="arial" w:cs="arial"/>
          <w:color w:val="000000"/>
          <w:sz w:val="20"/>
          <w:lang w:val="en-US" w:eastAsia="en-US" w:bidi="ar-SA"/>
        </w:rPr>
        <w:t xml:space="preserve"> described the legal duty owed by a real estate agent: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[45] In my view, the duty owed by a real estate agent is that owed by every agent for reward, and is clearly set out in F.M.B. Reynolds and B.J. Davenport, Bowstead on Agency, 13th edition (London: Sweet &amp; Maxwell, 1968), article 50,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Every Agent acting for reward is bound to exercise such skill, care and diligence in the performance of his undertaking as is usual or necessary in or for the ordinary or proper conduct of the profession or business in which he is employed, or is reasonably necessary for the proper performance of the duties undertaken by him.</w:t>
      </w:r>
    </w:p>
    <w:p>
      <w:pPr>
        <w:spacing w:before="120" w:line="260" w:lineRule="atLeast"/>
        <w:ind w:left="720"/>
        <w:rPr>
          <w:lang w:val="en-US" w:eastAsia="en-US" w:bidi="ar-SA"/>
        </w:rPr>
      </w:pPr>
      <w:r>
        <w:rPr>
          <w:rFonts w:ascii="arial" w:eastAsia="arial" w:hAnsi="arial" w:cs="arial"/>
          <w:color w:val="000000"/>
          <w:sz w:val="20"/>
          <w:lang w:val="en-US" w:eastAsia="en-US" w:bidi="ar-SA"/>
        </w:rPr>
        <w:t>[46] G.H.L. Fridman, in his text Studies in Canadian Business Law, states a similar test, specifically applicable to real estate brokers, in the following way, at p. 334:</w:t>
      </w:r>
    </w:p>
    <w:p>
      <w:pPr>
        <w:spacing w:before="120" w:line="260" w:lineRule="atLeast"/>
        <w:ind w:left="1080"/>
        <w:rPr>
          <w:lang w:val="en-US" w:eastAsia="en-US" w:bidi="ar-SA"/>
        </w:rPr>
      </w:pPr>
      <w:r>
        <w:rPr>
          <w:rFonts w:ascii="arial" w:eastAsia="arial" w:hAnsi="arial" w:cs="arial"/>
          <w:color w:val="000000"/>
          <w:sz w:val="20"/>
          <w:lang w:val="en-US" w:eastAsia="en-US" w:bidi="ar-SA"/>
        </w:rPr>
        <w:t>An agent who is receiving a reward must not only exercise reasonable care, but he is also deemed to possess reasonable skill, thus as real estate brokers hold themselves out to the public as being experts in property valuation and sale, they must display the qualities which are generally associated with their calling and in offering advice and information must use due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all the circumstances, Ms. Barker has failed to satisfy the court that the defendants were negligent or that they breached the fiduciary duty owed by them as real estate agents.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turn to the issue of damages. The plaintiff's expert, Mr. Pellizzon expresses the opinion that the net profit to Ms. Barker of the sale of the merchantable timber would have been significantly greater than the estimate of $50,000 used by Walker in determining the amount of the listing price. Mr. Pellizzon's opinion, however, is based upon market prices between October and December 1994, those being the dates between which Blue Ridge logged the property. The date for determining Ms. Barker's loss, however, is March 1994 when she agreed to the sale price.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Fowler, a professional forester with Inland Timber Management Ltd., described the market value of pine, spruce, and fir saw logs as "sky rocketing" from a figure of $68 per cubic meter in March 1994 to $97 per cubic meter by October of that year, which price continued through the end of December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Fowler, the defendants' expert, compared Walker's estimate of timber value on the property (made at the time of listing) to the market for the timber logged by Blue Ridge and Lightfoot but using timber prices as at March 1994, and concluded that there was little difference.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stump cruise conducted by Mr. Pellizzon to determine the volume of timber logged was within the range of volume of timber estimated by Walker, that is, his estimate of between 40 and 50 truck loads.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that the value of the land, improvements and timber as at March 1994 was significantly different from the sale price of $258,000.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was said in West Coast Engineering Ltd. v. Homelife Benchmark Realty Corp., </w:t>
      </w:r>
      <w:hyperlink r:id="rId1170" w:history="1">
        <w:r>
          <w:rPr>
            <w:rFonts w:ascii="arial" w:eastAsia="arial" w:hAnsi="arial" w:cs="arial"/>
            <w:i/>
            <w:color w:val="0077CC"/>
            <w:sz w:val="20"/>
            <w:u w:val="single"/>
            <w:shd w:val="clear" w:color="auto" w:fill="FFFFFF"/>
            <w:lang w:val="en-US" w:eastAsia="en-US" w:bidi="ar-SA"/>
          </w:rPr>
          <w:t>[1994] B.C.J. No. 1935</w:t>
        </w:r>
      </w:hyperlink>
      <w:r>
        <w:rPr>
          <w:rFonts w:ascii="arial" w:eastAsia="arial" w:hAnsi="arial" w:cs="arial"/>
          <w:color w:val="000000"/>
          <w:sz w:val="20"/>
          <w:lang w:val="en-US" w:eastAsia="en-US" w:bidi="ar-SA"/>
        </w:rPr>
        <w:t xml:space="preserve"> (B.C.S.C.), evidence of gross overvaluation or gross undervaluation may afford strong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such evidence before me. Variations in the opinions of timber appraisers, real estate agents, and real estate appraisers, are a common experience. I am not satisfied that the plaintiff has proved this property to be of a significantly different value in March of 1994 from that which it sold for to Blue Ridge at that time. I have concluded therefore that Ms. Barker has failed to prove that she suffered any damages as a result of the conduct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claim against both defendants is dismissed with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HUNTER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March 29,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This Corrigendum is issued with respect to my Reasons for Judgment published February 23,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[2] Page 3, paragraph 6, line 2, should read: Ms. Barker said that on Christmas Eve 1993 she and Jim Caddy (her boyfriend at the time) met socially with Mr. and Mrs. Walker for the evening.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[3] There are no other amendments to these reasons for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HUNTER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71"/>
          <w:headerReference w:type="default" r:id="rId1172"/>
          <w:footerReference w:type="even" r:id="rId1173"/>
          <w:footerReference w:type="default" r:id="rId1174"/>
          <w:headerReference w:type="first" r:id="rId1175"/>
          <w:footerReference w:type="first" r:id="rId11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7" w:history="1">
        <w:r>
          <w:rPr>
            <w:rFonts w:ascii="arial" w:eastAsia="arial" w:hAnsi="arial" w:cs="arial"/>
            <w:b/>
            <w:bCs/>
            <w:i/>
            <w:color w:val="0077CC"/>
            <w:kern w:val="32"/>
            <w:sz w:val="28"/>
            <w:szCs w:val="32"/>
            <w:u w:val="single"/>
            <w:shd w:val="clear" w:color="auto" w:fill="FFFFFF"/>
            <w:lang w:val="en-US" w:eastAsia="en-US" w:bidi="ar-SA"/>
          </w:rPr>
          <w:t>Beauchamp v. Shand, [2004] B.C.J. No. 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2 - 5,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S066966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129 A.C.W.S. (3d) 429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Janine Regan Beauchamp, plaintiff, and Graham Shand and Colleen Okeymow,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jc w:val="both"/>
        <w:rPr>
          <w:rFonts w:ascii="arial" w:eastAsia="arial" w:hAnsi="arial" w:cs="arial"/>
          <w:sz w:val="20"/>
          <w:lang w:val="en-US" w:eastAsia="en-US" w:bidi="ar-SA"/>
        </w:rPr>
      </w:pPr>
      <w:bookmarkStart w:id="311" w:name="Counsel_46"/>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4"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J.P. Hamilton, for the plaintiff. K.G. Grady,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6"/>
      <w:bookmarkEnd w:id="312"/>
      <w:r>
        <w:pict>
          <v:line id="_x0000_s1265" style="position:absolute;z-index:2517575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3" w:name="WEDGE J."/>
            <w:bookmarkEnd w:id="313"/>
            <w:r>
              <w:rPr>
                <w:rFonts w:ascii="arial" w:eastAsia="arial" w:hAnsi="arial" w:cs="arial"/>
                <w:b/>
                <w:color w:val="000000"/>
                <w:sz w:val="30"/>
                <w:lang w:val="en-US" w:eastAsia="en-US" w:bidi="ar-SA"/>
              </w:rPr>
              <w:t>WEDGE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June 7, 1999, Janine Regan Smith (whose surname was Beauchamp at the time) attempted to cross East Hastings Street during rush hour to catch a bus to work. She chose to cross at a point in the road that was not a marked crosswalk or signalized intersection. Ms. Smith successfully crossed the eastbound lanes, reaching the median at the centre of the road, but had three lanes of westbound traffic still to navigate. The vehicles in the two westbound lanes closest to the median stopped to let her cross. After some hesitation, Ms. Smith crossed in front of the stopped vehicles. As she attempted to cross the third lane, she was struck by a Jeep Cherokee driven by Graham Shand.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Shand negligent when he struck Ms. Smith with his car on June 7, 1999?</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Ms. Smith contributorily negligent in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Shand was all or partly at fault, what was the quantum of damage suffered by Ms. Smith as a result?</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Ms. Smith was 18 years of age. She had recently moved with her mother to a house located at 5020 East Hastings Street in North Burnaby. Although the 5000 block of East Hastings is residential, the street is a main traffic artery between downtown Vancouver to the west, and a number of communities to the east. The street consists of six traffic lanes, with three eastbound and three westbound lanes separated by a raised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5000 block, East Hastings is joined by Hythe Avenue from the north. Hythe Avenue ends at East Hastings, forming a "T" junction of sorts. As Hythe is not a through street, there is no access directly across East Hastings at the junction for vehicle traffic or pedestrians. Traffic heading north on Hythe is controlled by a stop sign before merging with traffic going westbound on East Hastings. Another street, Capitol Drive, runs almost parallel to East Hastings at the 5000 block, and intersects with Hythe Avenue where Hythe joins East Hastings. The traffic at the junction of these three streets is controlled by a "V"-shaped median on the north side of East Hastings.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Hythe Avenue is not a through street at East Hastings, the junction does not have traffic signals controlling the east-west flow of traffic. Nor does it have a crosswalk for pedestrian access across East Hastings. An intersection with traffic signals at Springer Avenue, one block east of Hythe Avenue, provides signalized access across East Hastings for both cars and pedestrians, as does another intersection at Gamma Street a block or two west of Hythe.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Smith's recollection of the events was as follows. She left her mother's house, located on the south side of East Hastings, shortly before 8:00 a.m. on June 7, 1999, to catch the westbound bus to work. It was a Monday, and was to be her first day of work as an office assistant at ADT Security Systems in North Vancouver. The sky was cloudy and light rain was falling. The nearest bust stop was directly across the street at the corner of East Hastings and Hythe. Ms. Smith was carrying a large desk calendar and a potted plant. She wanted to use the bus stop at Hythe, given its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Smith had little difficulty crossing the three eastbound lanes. She stepped onto the median, and waited for the three westbound lanes to clear of traffic. Traffic in the two lanes closest to the median were moving slowly, backed up from the signalized intersection one block to the west. The third westbound lane was quite clear of traffic, likely because it was designated during the morning rush hour as an "HOV lane" -- that is, as a lane for use only by vehicles carrying more than one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a couple of moments, the driver of a car in the lane closest to the median stopped to allow Ms. Smith to cross. The driver of a truck in the middle lane followed suit. The drivers of both stopped vehicles gestured to Ms. Smith, inviting her to cross. She gestured back, indicating that she preferred to wait until the traffic had completely cleared. However, the drivers continued waiting for her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Traffic began to line up behind the waiting vehicles. Ms. Smith said she "felt some pressure to cross" because the drivers were waiting for her to do so, but at the same time she did not feel the situation was safe. After another minute or so, although the traffic had by no means cleared, she decided to cross. She went across the first two lanes. The waiting truck in the centre lane obscured her view of the HOV lane. She could see only a car length or two beyond the truck. She did not stop walking, however; she continued advancing across the lanes from the time she left the median. As she walked, she determined as best she could that the HOV lane was clear. As she approached the HOV lane, she quickened her pace to a brisk walk. She looked toward her destination, which was the kerb of the "V" shaped median controlling the entry of traffic from Hythe onto East Hastings, and proceeded into the HOV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Smith did not see Mr. Shand's Jeep before it hit her. She did not hear any sounds from the Jeep. To her recollection, she heard neither a horn nor brakes being applied. When she was first struck, she was thrown on to the hood of the Jeep. She then fell onto the pavement. The front left wheel of the Jeep drove over her torso in the clavicle area. She was wedged against the left back wheel when the Jeep came to a stop approximately twenty feet beyond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Police and ambulance personnel attended. Ms. Smith was taken by ambulance to the Royal Columbian Hospital in New Westminster where she remained for six days. She was diagnosed with multiple fractured and dislocated ribs, lacerated liver, and broken clavicle. She had significant bruising all over her body, including her head, and deep lacerations on her knees and elbows. Ms. Smith was in severe pain from her injuries. She was administered morphine initially, and was prescribed Demerol for two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Remarkably, Ms. Smith returned to work after two weeks, in part because she was worried she might otherwise lose her job. She continued to suffer from the injuries she received. Some of those injuries, and, in particular, the soft tissue injuries, have not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Graham Shand was driving the Jeep that struck Ms. Smith. His spouse, Colleen Okeymow, owned the Jeep and was riding in the other front seat as a passenger that day. Mr. Shand and Ms. Okeymow were on their way to work in downtown Vancouver. They had commuted to work using this route many times in the past and were familiar with it. Mr. Shand was using the HOV lane on East Hastings because there were two people in the car. He had been in that lane at least since the previous signalized intersection, and likely for some distance before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East Hastings slopes downward to the west as it approaches Hythe Avenue. The slope increases to the next signalized intersection at Gamma Street, a short distance west of Hythe. The stretch of road approaching Hythe is often congested with traffic that has stopped or is moving slowly because of the traffic lights at Gamma Street. As Mr. Shand approached the junction at Hythe Avenue, he saw that the traffic was indeed lined up from the intersection at Gamma Street. The speed limit was 50 kph but he reduced his speed to about 40 kph because of the congestion and the likelihood of vehicles in the centre lane attempting to dart into the HOV lane to circumvent the line of waiting traffic. Traffic was not backed up in the HOV lane, which was relatively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the traffic in the other westbound lanes was backed up, Mr. Shand could not see, as he approached the junction at Hythe, the gap in the line of vehicles created by the drivers who had stopped to allow Ms. Smith to cross. The vehicle in the middle lane was large, further obscuring the gap in the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he reached the junction at Hythe, Mr. Shand suddenly saw Ms. Smith. She was most of the way across the centre lane and heading toward the HOV lane. She was walking quickly and her head was turned away from the HOV lane; she appeared to be looking in the opposite direction from Mr. Shand. Mr. Shand immediately applied his brakes. He thought he sounded his horn, but cannot be sure. He estimated the period of time between his first glimpse of Ms. Smith and striking her with his car was one or two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Mr. Shand's perspective, Ms. Smith did not swerve or hesitate before entering the HOV lane. Instead, she continued directly toward her destination on the north side of the street. After entering the HOV lane, she turned and looked at the Jeep just as it struck her. The potted plant she had been carrying hit the roof of the Jeep and fell to the ground behind it. Ms. Smith fell to the pavement in front of the Jeep, which continued part way over her as Mr. Shand continued to brake. When the Jeep stopped, Mr. Shand got out and saw that Ms. Smith was lying against the left rear tire. He was concerned that she might be caught by the tire, so he re-entered the Jeep and carefully drove it forward a few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Shand again got out of his car. He was distraught. He saw that a group of people had formed around the car. Someone brought Ms. Smith a blanket. An ambulance was called, and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Shand had never before seen a pedestrian attempt to cross East Hastings at that point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Several individuals who witnessed the accident remained at the scene to speak to investigating police officers. One such individual was Anthony Dillistone, who was standing at the bus stop waiting for a westbound bus. He was looking eastbound to see whether his bus was approaching. From his vantage point, he saw the entire sequence of events from the time Ms. Smith left her house until she was struck by Mr. Shand's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Dillistone noticed Ms. Smith leaving her house because she appeared to be saying goodbye to several people who were giving her an enthusiastic send off. He observed that her arms were full of parcels. She approached East Hastings and was apparently headed in the direction of the bus stop at which Mr. Dillistone was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Dillistone observed Ms. Smith cross the eastbound lanes to the median, where she then stood until vehicles in the median and centre lanes stopped to allow her to cross. Traffic by this time was backed up from the signalized intersection a block to the west. The drivers of both vehicles left a gap which Mr. Dillistone estimated to be two to three vehicle lengths between their vehicles and those lined up in front of them, in order to leave room for Ms. Smith to cross. There were a few cars behind the vehicles stopped for Ms. Smith, but not a long lines of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Dillistone then saw Ms. Smith cross the first of the two westbound lanes. Once she had crossed that lane, the driver of the first stopped vehicle proceeded. Ms. Smith kept walking across the second, centre lane, remaining quite close to the front of the vehicles that had stopped for her. She was walking briskly. She did not slow her pace or look in the direction of oncoming traffic in the HOV lane. Nor was she looking toward oncoming traffic as she entered the HOV lane; she was looking toward her destination on the north side of the street. She was struck by the front of the oncoming Jeep immediately after she entered the HOV lane. She fell to the ground and the front left tire of the Jeep rolled over her. The Jeep stopped very quickly, just before the back tire went over her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Jeep, according to Mr. Dillistone, was not travelling at an excessive speed. From his vantage point, the Jeep appeared to be travelling well within the speed limit down the centre of the HOV lane. His view was that had Ms. Smith been walking more slowly as she approached the HOV lane, she would likely have been able to stop before she was struck. It was also his view there was nothing the driver of the Jeep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Dillistone had waited for the bus at this location on many occasions. He was also familiar with the section of road because he often drove to and from work. He had never seen a pedestrian attempt to cross East Hastings at the Hythe Street 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Wade Wanner was driving westbound to work that morning. He had regularly driven that route to work for over a year. As he passed Springer Street, the intersection just east of Hythe, traffic slowed significantly. By Hythe Avenue it had come to a halt. Mr. Wanner noted the traffic was backed up westbound along East Hastings as far as he could see. He was in the lane closest to the median on his left. While he waited in the traffic, he saw a young woman standing on the median. The driver of the car directly in front of him had stopped, leaving a gap of about one car's length, and gestured to her to cross. A car in the middle lane stopped as well. Mr. Wanner watched as the young woman walked quickly across the first two westbound lanes toward the HOV lane. She entered the HOV lane without slowing or looking in the direction of oncoming traffic. He did not see the Jeep strike Ms. Smith, but he saw the packages in her arms fly into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Wanner had never seen a pedestrian attempt to cross East Hastings at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One of the police officers who attended the scene immediately after the accident was Gerald James. Although he has since retired from the police force, at the time of the accident he was an officer with the RCMP. He had been with the RCMP almost 28 years, and investigated motor vehicle accident scenes for 13 of those years. Mr. James interviewed several individuals who had witnessed the accident, most of whom were motorists. He also interviewed Mr. Shand and Ms. Smith. He took photographs of the accident scene and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his investigation, Corporal James concluded that Mr. Shand was not at fault. Mr. Shand was not charged with an offence.</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Mr. Shand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issue is whether Mr. Shand was negligent in the operation of his vehicle. If he was not negligent, the remaining issues are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burden of proof is on Ms. Smith who, as the plaintiff, must establish on a balance of probabilities that Mr. Shand failed to meet the standard of care he owes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noted by Saunders J. (as she then was) in Mendoza v. Johnson, </w:t>
      </w:r>
      <w:hyperlink r:id="rId1179" w:history="1">
        <w:r>
          <w:rPr>
            <w:rFonts w:ascii="arial" w:eastAsia="arial" w:hAnsi="arial" w:cs="arial"/>
            <w:i/>
            <w:color w:val="0077CC"/>
            <w:sz w:val="20"/>
            <w:u w:val="single"/>
            <w:shd w:val="clear" w:color="auto" w:fill="FFFFFF"/>
            <w:lang w:val="en-US" w:eastAsia="en-US" w:bidi="ar-SA"/>
          </w:rPr>
          <w:t>[1992] B.C.J. No. 1160</w:t>
        </w:r>
      </w:hyperlink>
      <w:r>
        <w:rPr>
          <w:rFonts w:ascii="arial" w:eastAsia="arial" w:hAnsi="arial" w:cs="arial"/>
          <w:color w:val="000000"/>
          <w:sz w:val="20"/>
          <w:lang w:val="en-US" w:eastAsia="en-US" w:bidi="ar-SA"/>
        </w:rPr>
        <w:t xml:space="preserve"> (S.C.), the standard of care owed to all pedestrians is imposed by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is codified, in part, in the Motor Vehicle Act (the Act). Section 181(a) provides that a driver of a vehicle must "exercise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 in Mendoza also observed that a driver's duty of care exists whether or not a pedestrian is complying with the rules of the road. However, a driver's obligation to take evasive action arises only when he or she becomes aware, or ought to have become aware, that the pedestrian was not going to obey the law: Cook v. Teh </w:t>
      </w:r>
      <w:hyperlink r:id="rId1180"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at 212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Act imposes a spectrum of statutory duties upon drivers and pedestrians. However, the Act does not constitute an exclusive code relating to the respective rights of way between them. As noted by the Court of Appeal in Cook, the provisions of the Act are not a substitute for the common law duty of care owed by pedestrians and drivers to exercise due care for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Ms. Smith relied heavily on s. 179(3) of the Act,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an intersection to permit a pedestrian to cross the highway, the driver of a vehicle approaching from the rear must not overtake and pass the vehicle that is slowing down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section is intended to require an approaching vehicle to stop when there is a vehicle ahead of it slowing down or stopped at a crosswalk (or intersection) to permit a pedestrian to cross the road. In that circumstance, the pedestrian can often be hidden from the view of traffic approaching from the rear of the stopped vehicle; thus the prohibition against passing the stopped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Counsel for Ms. Smith also relied on s. 158(1) of the Act. That section specifically permits the driver of a vehicle to overtake and pass on the right of another vehicle in the circumstances enumerated in s. 158(1). Section 158(2)(a), however, prohibits the overtaking and passing on the right "when the movement cannot be made safely". This section, as noted by the Court of Appeal in Fabellorin v. Peterson, </w:t>
      </w:r>
      <w:hyperlink r:id="rId1181" w:history="1">
        <w:r>
          <w:rPr>
            <w:rFonts w:ascii="arial" w:eastAsia="arial" w:hAnsi="arial" w:cs="arial"/>
            <w:i/>
            <w:color w:val="0077CC"/>
            <w:sz w:val="20"/>
            <w:u w:val="single"/>
            <w:shd w:val="clear" w:color="auto" w:fill="FFFFFF"/>
            <w:lang w:val="en-US" w:eastAsia="en-US" w:bidi="ar-SA"/>
          </w:rPr>
          <w:t>[1994] B.C.J. No. 628</w:t>
        </w:r>
      </w:hyperlink>
      <w:r>
        <w:rPr>
          <w:rFonts w:ascii="arial" w:eastAsia="arial" w:hAnsi="arial" w:cs="arial"/>
          <w:color w:val="000000"/>
          <w:sz w:val="20"/>
          <w:lang w:val="en-US" w:eastAsia="en-US" w:bidi="ar-SA"/>
        </w:rPr>
        <w:t xml:space="preserve"> at para. 13 imposes a "heavy onus on the driver of a vehicle attempting to pass other vehicles on the right." The Court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especially this is so when the vehicles ahead have stopped or slowed on the roadway </w:t>
      </w:r>
      <w:r>
        <w:rPr>
          <w:rFonts w:ascii="arial" w:eastAsia="arial" w:hAnsi="arial" w:cs="arial"/>
          <w:i/>
          <w:color w:val="000000"/>
          <w:sz w:val="20"/>
          <w:lang w:val="en-US" w:eastAsia="en-US" w:bidi="ar-SA"/>
        </w:rPr>
        <w:t>other than at an intersection or a crosswalk when there is no apparent reason for their doing so</w:t>
      </w:r>
      <w:r>
        <w:rPr>
          <w:rFonts w:ascii="arial" w:eastAsia="arial" w:hAnsi="arial" w:cs="arial"/>
          <w:color w:val="000000"/>
          <w:sz w:val="20"/>
          <w:lang w:val="en-US" w:eastAsia="en-US" w:bidi="ar-SA"/>
        </w:rPr>
        <w:t>.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Ms. Smith's position was that by virtue of the stopped vehicles in the westbound median and centre lanes, Mr. Shand was alerted, or ought to have been alerted, to her presence on the road. She argued that his failure to do so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Shand's position was that Ms. Smith was wholly responsible for the accident that ensued when she imperilled herself by crossing a major traffic artery during rush hour at a point in the road that provided no pedestrian access. Mr. Shand, as a result of Ms. Smith's failure to take proper care in the circumstances, was unable to take any evasive action to avoid striking her with his car.</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concluded that Mr. Shand was not negligent in the operation of his car on the morning of June 7, 1999. Ms. Smith, in her attempt to cross East Hastings during the morning rush hour at a point in the highway that was neither a crosswalk nor a signalized intersection, was under a duty to yield the right of way to Mr. Shand. Mr. Shand's corresponding obligation was to exercise a duty of care to avoid colliding with Ms. Smith, who was a pedestrian on the highway. On the findings of fact I have made in this case, I conclude Mr. Shand exercised the duty of care he owed Ms. Smith. Ms. Smith, unfortunately, failed to exercise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common ground among the witnesses that drivers did not expect pedestrians to attempt to cross East Hastings at Hythe Avenue, where there was neither a cross walk nor a traffic light. There were signalized intersections a short distance east and west of that junction providing access across East Hastings.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independent witnesses to the accident confirmed Mr. Shand's evidence, and I find as fact, that Ms. Smith walked quickly into the HOV lane without first looking westbound to determine whether it was safe to do so. Ms. Smith herself acknowledged that her view down the HOV lane was obscured by the large vehicle in the middle westbound lane that had stopped to let her pass. She also acknowledged that once she decided to continue across the road, she quickened her pace and looked only toward the kerb on the median separating Hythe Avenue from East Hastings.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independent witnesses also confirmed, and again I find as fact, that traffic was lined up not only behind the vehicles in the two westbound lanes that had stopped for Ms. Smith, but was also lined up in front of those vehicles. At most, there was a gap of a couple of car lengths between the vehicles that had stopped for Ms. Smith and the traffic ahead that was stopped as a result of the traffic lights at the Gamma Street intersection to the west. Because traffic was backed up from the signalized intersection, and only a small gap had been created by the drivers waiting for Ms. Smith to cross, there was nothing to alert Mr. Shand to the fact that the other lanes of traffic had slowed to permit a pedestrian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the lane in which Mr. Shand was travelling was designated, during rush hour, as an HOV lane. As a result, traffic in that lane was relatively clear and moving quite briskly, as one would expect. One of the purposes of the HOV lane is to encourage commuters to carry passengers; drivers of cars carrying more than one person are rewarded with the use of a lane that is often less obstructed and creates a relatively free flow of traffic. As a result, while Mr. Shand passed two lines of stopped traffic, and did so to the right of that traffic, he did so in circumstances where he could reasonably assume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Shand was also driving well within the speed limit. I conclude that his car struck Ms. Smith not because he was driving at an excessive speed, or because he was not paying proper attention, but because Ms. Smith suddenly emerged from behind another vehicle without looking for oncoming traffic and at a pace too brisk in the circumstances. Although Mr. Shand was driving well below the speed limit, there was no obligation on him to travel so slowly as to meet unforeseeable emergencies such as a pedestrian walking into oncoming traffic without stopping and looking.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two drivers who stopped for Ms. Smith and gestured her to cross were undoubtedly well-intentioned, but by doing so they created a situation fraught with risk. Ms. Smith, who was a forthright witness, acknowledged that she found herself in an untenable position that morning. Once she crossed the eastbound lanes of East Hastings and reached the median, her intention was to wait until all three westbound lanes were clear of traffic. She sensed that the situation was unsafe, but felt pressured by the waiting drivers and the lines of traffic forming behind them to cross the road against her better judgement. The result was traumatic for this young woman both physically and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Nevertheless, Mr. Shand was not negligent. He did the best he could in these very unfortunate circumstances. Mr. Shand is absolved of any responsibility for the accident. It is conceded that Mr. Shand was operating the vehicle with the consent of its owner, Ms. Okeymow. It was not otherwise alleged that Ms. Okeymow was negligent.</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result, Ms. Smith's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6"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82"/>
          <w:headerReference w:type="default" r:id="rId1183"/>
          <w:footerReference w:type="even" r:id="rId1184"/>
          <w:footerReference w:type="default" r:id="rId1185"/>
          <w:headerReference w:type="first" r:id="rId1186"/>
          <w:footerReference w:type="first" r:id="rId11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Bilfinger Berger (Canada) Inc. v. Greater Vancouver Water District, [2013] B.C.J. No. 2877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S084599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Bilfinger Berger (Canada) Inc., Bilfinger Berger AG, Fru-Con Construction Corporation and Bilfinger Berger/Fru-Con, a Joint Venture, Plaintiffs, and Greater Vancouver Water District, Greater Vancouver Regional District, Greater Vancouver Sewerage and Drainage District, Hatch Mott Macdonald Ltd., and The Corporation of the District of North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6"/>
      <w:bookmarkEnd w:id="314"/>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Particulars — Applications by defendant Hatch Mott Macdonald Ltd ("HMM") for particulars and to strike parts of amended statement of claim allowed in part — HMM was engineer on tunnelling project, which plaintiffs contracted with municipal defendants to complete — After disputes arose, contract was terminated — Plaintiffs commenced claim alleging that HMM made misrepresentations and breached duties of fairness and good faith — HMM was entitled to know particular misrepresentations and to whom they were made, omissions and heads of special damages — Sufficient material facts were pleaded to support punitive damages claim — No independent tort of breach of duty of fairness or good faith.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Particulars — Applications by defendant Hatch Mott Macdonald Ltd ("HMM") for particulars and to strike parts of amended statement of claim allowed in part — HMM was engineer on tunnelling project, which plaintiffs contracted with municipal defendants to complete — After disputes arose, contract was terminated — Plaintiffs commenced claim alleging that HMM made misrepresentations and breached duties of fairness and good faith — HMM was entitled to know particular misrepresentations and to whom they were made, omissions and heads of special damages — Sufficient material facts were pleaded to support punitive damages claim — No independent tort of breach of duty of fairness or good faith.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45"/>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Hatch Mott Macdonald Ltd ("HMM") for particulars of certain allegations pleaded in the plaintiffs' amended statement of claim and to strike parts of the amended statement of claim. The plaintiffs contracted to construct underground tunnels and vertical shafts for the defendant municipal entities. Disputes concerning safety and design led the plaintiffs to stop work and the municipal entities to terminate the contract. The municipal entities then entered into contracts with new parties to complete the work and asserted a right to take over the plaintiffs' equipment that was on site and to use it to complete the work, and litigation ensured. HMM was the engineer appointed by the municipal entities under the contract and was involved in the project design. As there was no contractual relationship between the plaintiffs and HMM, the plaintiffs did not advance a claim of breach of contract as against HMM. However, the plaintiffs asserted that the circumstances of the project gave rise to duties of care between the plaintiff and HMM, making HMM liable for misrepresentations to the plaintiffs and duties to warn. In addition, the plaintiffs alleged that HMM owed a duty of care to the plaintiffs in preparing the project design and providing engineering services, which it breached, and that it owed the plaintiffs duties of fairness and good faith in performing those services, which it also breached. The plaintiff sought general and special damages, as well as punitive damages against HMM. HMM sought particulars of the alleged misrepresentations and non-disclosures and the damages claimed. In addition, HMM sought to strike out the claim for punitive damages and the claim that HMM owed the plaintiffs duties of fairness and good faith.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39"/>
            <w:bookmarkEnd w:id="316"/>
            <w:r>
              <w:rPr>
                <w:rFonts w:ascii="arial" w:eastAsia="arial" w:hAnsi="arial" w:cs="arial"/>
                <w:color w:val="000000"/>
                <w:sz w:val="20"/>
                <w:lang w:val="en-US" w:eastAsia="en-US" w:bidi="ar-SA"/>
              </w:rPr>
              <w:t>HELD: Application for particulars and application to strike parts of the amended statement of 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response to the request for particulars was too vague and open-ended and did not serve the purpose of particulars, which were to avoid surprise at trial and to tie a party down. HMM was entitled to have the issues narrowed and to have the plaintiffs commit to a position on the affirmative misrepresentations they say were made by HMM. It was not appropriate for the plaintiffs to provide only some particulars qualified by the word "including". In addition, HMM was entitled to know to which particular plaintiff any particular misrepresentation was made. However, the plaintiffs' response on the particulars of non-disclosure was sufficient, but HMM was entitled to know whether the plaintiffs were aware of any other particulars than those already provided. The plaintiffs were also to provide disclosure of the heads of special damages that each plaintiff intended to claim against HMM as special damages. The actual calculation of special damages should be provided at a later date. Sufficient material facts were pleaded to support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Whether or not the claim that those facts gave rise to punitive damages was, in large part, a matter of argument and would depend on the trial judge's characterization of the findings of fact. The allegations of a claim for an independent tort based on breach of duty of fairness and good faith were not supported at 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Legislation Cited_37"/>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3-7(14), Rule 3-7(18), Rule 3-7(20), Rule 3-7(22),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8" w:name="Counsel_47"/>
      <w:bookmarkEnd w:id="3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9"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Action No. S084599 and for the Defendants in Action No. S083856, (the "Bilfinger Berger parties"): David Claassen, Michael A. Skene, Krista Johanson.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GRWD, GVRD, GVS&amp;DD and Corporation of North Vancouver, (the "Metro Vancouver parties"): Stephen J. Berezowskyj, Steven 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Hatch Mott Macdonald Ltd: Frank G. Potts, Timothy D. Goepel.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7"/>
      <w:bookmarkEnd w:id="319"/>
      <w:r>
        <w:pict>
          <v:line id="_x0000_s1270"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An amended judgment was released by the Court December 27, 2013.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S.A. GRIFFIN J."/>
            <w:bookmarkEnd w:id="320"/>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Hatch Mott Macdonald Ltd. ("HMM") has brought two applications: one seeking particulars from the plaintiffs of certain allegations pleaded in the plaintiffs' Amended Statement of Claim; the other to strike parts of the plaintiff's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have, for ease of reference, been described collectively as the single name "Bilfinger" at para. 5 of the Amended Statement of Claim. However, they are separate entities, and HMM asserts that the last named plaintiff, a "Joint Venture" between two of the named plaintiffs, is not in fact a separate legal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various "Greater Vancouver" municipal entities named as defendants have been referred collectively as "Metro Vancouver", and the plaintiff pleads that they are jointly and severally liable (para. 9 of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have been case managing this proceeding for some time. Without parsing out the various Bilfinger entities, the following brief description of the nature of the action was given in an earlier ruling in this case indexed at </w:t>
      </w:r>
      <w:hyperlink r:id="rId1188" w:history="1">
        <w:r>
          <w:rPr>
            <w:rFonts w:ascii="arial" w:eastAsia="arial" w:hAnsi="arial" w:cs="arial"/>
            <w:i/>
            <w:color w:val="0077CC"/>
            <w:sz w:val="20"/>
            <w:u w:val="single"/>
            <w:shd w:val="clear" w:color="auto" w:fill="FFFFFF"/>
            <w:lang w:val="en-US" w:eastAsia="en-US" w:bidi="ar-SA"/>
          </w:rPr>
          <w:t>2013 BCSC 1892</w:t>
        </w:r>
      </w:hyperlink>
      <w:r>
        <w:rPr>
          <w:rFonts w:ascii="arial" w:eastAsia="arial" w:hAnsi="arial" w:cs="arial"/>
          <w:color w:val="000000"/>
          <w:sz w:val="20"/>
          <w:lang w:val="en-US" w:eastAsia="en-US" w:bidi="ar-SA"/>
        </w:rPr>
        <w:t>, at paras.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litigation arises out of a construction contract between Bilfinger and Metro Vancouver for a contract price in excess of $100 million. The contract related to the construction by Bilfinger of, amongst other things, two underground tunnels, one for treated water and one for raw water, and two vertical shafts. This was known as the Seymour-Capilano Twin Tunnels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Bilfinger began work tunneling, it says it encountered unexpected and dangerous failures of the rock. The parties took various positions with each other regarding responsibility for unsafe conditions, disclosure of conditions, and design. Disputes between the parties culminated in Bilfinger stopping work and, ultimately, Metro Vancouver terminating the contract. Metro Vancouver then entered into contracts with new parties to complete the work. Metro Vancouver asserted a right to take over Bilfinger's tunnel boring equipment that was on site and to use it to complete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Tunnel planning and design appears to reach as far back as 2002. Bilfinger and Metro Vancouver entered into the contract in 2004. Bilfinger's tunneling work began in 2006. The work stoppage by Bilfinger occurred in early 2008. Metro Vancouver's notice of termination of the contract occurred in May 2008. This litigation ensued, and the continued construction work on the twin tunnels has been ongoing since. The many facts that may be at issue in this proceeding thus cover a time period from 2002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Claims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begin with an outline of the nature of the claims advanced by the plaintiffs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HMM was the engineer appointed by Metro Vancouver under the twin tunneling contract between the Metro Vancouver and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None of the plaintiffs had a contractual relationship with HMM. The plaintiffs do not advance a claim for breach of contract as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in respect of HMM the plaintiffs allege that :</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HMM was involved in the project design (para. 20);</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2008, after Bilfinger stopped work and gave notice to Metro Vancouver of the hazardous conditions (para. 33), HMM did not provide a safe and viable design to resume excavation (para. 34);</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HMM made further recommendations for tunnel support in February and March 2008 (para. 36);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Bilfinger repeatedly advised Metro Vancouver that it was the responsibility of Metro Vancouver and HMM to present a viable, safe design solution (para. 41);</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breached its contract with Bilfinger in various ways, some of which are attributed to also being failures of HMM for which Metro Vancouver is responsible (para. 52(q), (r), (u), (aa), (bb), (ee), and (ii), para 53);</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this project (detailed at para. 60) gave rise to a relationship between Bilfinger and HMM, giving rise to duties of care, making HMM liable for misrepresentations to Bilfinger (para. 62), which misrepresentations are set out (para. 61);</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also gave rise to HMM owing duties to warn Bilfinger (para. 69), which duties it breached in various ways (para. 70);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HMM owed Bilfinger duties of care in preparing the project design and in proving consulting engineering services for the project, and breached those duties (para. 74-75);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HMM owed to Bilfinger duties of fairness and good faith in performing its services for the project, and breached those duties (para. 82);</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Bilfinger received various subtrade claims that arise due to the breaches of HMM, for which it claims against HMM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prayer for relief, the plaintiffs seek general and special damages, as well as punitive damages as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HMM Application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Notice of Application by HMM for particulars of matters pleaded can be categorized as follows:</w:t>
      </w:r>
      <w:r>
        <w:rPr>
          <w:rFonts w:ascii="arial" w:eastAsia="arial" w:hAnsi="arial" w:cs="arial"/>
          <w:sz w:val="20"/>
          <w:lang w:val="en-US" w:eastAsia="en-US" w:bidi="ar-SA"/>
        </w:rPr>
        <w:cr/>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particulars of the alleged misrepresentations made by HMM to Bilfinger pleaded at para. 61 of the Amended Statement of Claim, including, for each representation: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where, who made the representation;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the representation made;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it untrue, inaccurate, or misleading;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non-disclosure allegations made against HMM pleaded at para. 70 of the Amended Statement of Claim;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damages claimed.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no dispute about the applicable legal principles as they relate to pleadings and the provision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first demanding particulars in writing, a party may apply for a court order that another party serve further and better particulars of a matter stated in a pleading pursuant to Rule 3-7(22).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Under Rule 3-7(18), a party alleging misrepresentation is to provide full particulars, with dates and items if applicable. Where possible this means providing each instance on which an alleged misrepresentation is made, as held in </w:t>
      </w: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purpose of particulars is to provide the other side with adequate notice of the claim against it so that it may prepare for trial and avoid surprise at trial, and to tie down the allegations of the party providing the particulars: </w:t>
      </w:r>
      <w:r>
        <w:rPr>
          <w:rFonts w:ascii="arial" w:eastAsia="arial" w:hAnsi="arial" w:cs="arial"/>
          <w:i/>
          <w:color w:val="000000"/>
          <w:sz w:val="20"/>
          <w:lang w:val="en-US" w:eastAsia="en-US" w:bidi="ar-SA"/>
        </w:rPr>
        <w:t>No. 1 Collision Repair &amp; Painting (1982) Ltd. v. Insurance Corp. of B.C.</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(1995), 30 C.C.L.I. (2d) 149</w:t>
        </w:r>
      </w:hyperlink>
      <w:r>
        <w:rPr>
          <w:rFonts w:ascii="arial" w:eastAsia="arial" w:hAnsi="arial" w:cs="arial"/>
          <w:color w:val="000000"/>
          <w:sz w:val="20"/>
          <w:lang w:val="en-US" w:eastAsia="en-US" w:bidi="ar-SA"/>
        </w:rPr>
        <w:t xml:space="preserve"> (B.C.S.C.)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read the authorities, particulars may be supplemented or amended as more information is known. However the starting point is precision, not generalities, and if further examples become known they can be added by way of further particulars: see Rule 3-7(20);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(1994), 49 A.C.W.S. (3d) 871</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Particulars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HMM's oral submissions, HMM also sought to know "to whom" the alleged misrepresentations were made as pleaded at para. 61 of the Amended Statement of Claim. This question was posed in the demands for particulars made in correspondence from HMM's counsel to the plaintiffs' counsel, but was overlooked in the preparation of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HMM asked the court's leave to expand its application to include this item in the request for particulars. I agree that the plaintiffs have had adequate notice of the request to identify to whom a representation was made, and I see no prejudice to them in deciding the question now. I therefore grant HMM leave to add this to the scope of its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answer by the plaintiffs with respect to the request for particulars of the alleged misrepresentations is that they have provided this information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example of a response to the request for particulars of para. 61(d) of the Amended Statement of Claim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HMM made this representation when it created the C-710 Contract Documents, in particular the drawings, specifications, and GBR, which HMM knew Metro Vancouver would and did provide to bidders including Bilfinger in 2004 and at various meetings and in various correspondence through the course of the construction by Bilfinger between 2004 and 2008, including but not limited to the HMM memo dated 15/16 January 2008, the HMM Tunnel Support Recommendations ("TSR") dated 22 February 2008 and HMM's letter to Metro Vancouver dated 25 April 2008, all of which HMM knew Metro Vancouver would and did provide to Bilfinger.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HMM set out in the GBR that Q' was the adopted design parameter (which assumes the effects of stress and joint water on the rock quality will be nil, rather than Q which represents that stress and joint water may be a factor impacting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this is a representation by omission or material non-disclosure. HMM was aware of the risk of overstressing on this Project and failed to include this as an identified risk in the GBR, and specifically through the use of specified Tunnel Support Classes and TBMs that assumed that overstressing would not occur. During construction, HMM was slow to acknowledge that overstressing was occurring, and never made a determination as to whether the overstressing was a Differing Site Condition despite its obligation to do so under Contract C-710.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Metro Vancouver made these representations when it provided bidders with the Tender Documents and at various meetings and in various correspondence through the course of the construction by Bilfinger between 2004 and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may be provided after HMM and Metro Vancouver have complied with their document production obligations, after the continued examination of HMM and Metro Vancouver representatives,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HMM accepts that the description of the affirmative misrepresentation related to the question of the Q' design parameter; and the description of the representation by omission or material non-disclosure, are appropriate particulars in so far as the substance of some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What HMM objects to is the open-ended and vague nature of the rest of the plaintiffs' response, which refers to the entirety of the Contract Documents, the entirety of many meetings and correspondence over the project, and which suggests further particulars will be provided as late as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agree with HMM and find that these aspects of the plaintiffs' responses are too vague and open-ended. Such broad responses do not serve two of the key purposes of particulars, which are to avoid surprise at trial and to tie a party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not unfair for HMM to try to pin the plaintiffs' position down. The plaintiffs asked the same thing earlier in this litigation in respect of answers given by Metro Vancouver representatives on discovery (</w:t>
      </w:r>
      <w:hyperlink r:id="rId1188" w:history="1">
        <w:r>
          <w:rPr>
            <w:rFonts w:ascii="arial" w:eastAsia="arial" w:hAnsi="arial" w:cs="arial"/>
            <w:i/>
            <w:color w:val="0077CC"/>
            <w:sz w:val="20"/>
            <w:u w:val="single"/>
            <w:shd w:val="clear" w:color="auto" w:fill="FFFFFF"/>
            <w:lang w:val="en-US" w:eastAsia="en-US" w:bidi="ar-SA"/>
          </w:rPr>
          <w:t>2013 BCSC 1892</w:t>
        </w:r>
      </w:hyperlink>
      <w:r>
        <w:rPr>
          <w:rFonts w:ascii="arial" w:eastAsia="arial" w:hAnsi="arial" w:cs="arial"/>
          <w:color w:val="000000"/>
          <w:sz w:val="20"/>
          <w:lang w:val="en-US" w:eastAsia="en-US" w:bidi="ar-SA"/>
        </w:rPr>
        <w:t>), and I ruled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those issues that they were not able to resolve, I provide this guidance as to what I see as reasonable in the discovery process in a case of this magnitude: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conducting a thorough examination for discovery, a party ought to be in a position where it can conclude that it has reasonably exhausted the other party's evidence on an issue, and ought not to be left in a position where there is uncertainty about whether it will be taken by surprise at trial;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argue that they have already identified in some detail in the Amended Statement of Claim the flaws in the Contract Documents. They say that these form the basis for the allegation that the Contract Documents contained misrepresentations. That may be so, but they have not clearly stated that these same allegations form the basis of the misrepresentations alleged in the Amended Statement of Claim or in the response to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HMM is entitled to have the issues narrowed and to have the plaintiffs commit to a position on the affirmative misrepresentations they say were made by HMM. It is not appropriate for the plaintiffs to provide only some particulars qualified by the word "including". Either the plaintiffs know of the misrepresentation and can provide it, or they do not, in which case they cannot reserve the ability to raise another misrepresentation at the last minute at trial simply by use of the qualifying word "including".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same thing goes for alleged misrepresentations by omission the plaintiffs say were made by HMM, with one qualification. In the case of non-disclosure, it is not as easy for the aggrieved party to know what the non-disclosure was until discovery is complete. However, the plaintiffs can address this by identifying the misrepresentations by omission of which they are currently aware. If they discover more misrepresentations by omission, the Rules allow for further particulars to be provided: Rule 3-7(20).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this regard, HMM relies on the judgment of Tysoe J. as he then was in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1189" w:history="1">
        <w:r>
          <w:rPr>
            <w:rFonts w:ascii="arial" w:eastAsia="arial" w:hAnsi="arial" w:cs="arial"/>
            <w:i/>
            <w:color w:val="0077CC"/>
            <w:sz w:val="20"/>
            <w:u w:val="single"/>
            <w:shd w:val="clear" w:color="auto" w:fill="FFFFFF"/>
            <w:lang w:val="en-US" w:eastAsia="en-US" w:bidi="ar-SA"/>
          </w:rPr>
          <w:t>2003 BCSC 49</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Beazer's complaint about the lack of particulars is especially forceful as it relates to the allegations of affirmative misrepresentations (as distinct from misrepresentations by omission or material non-disclosure). If such misrepresentations were made by Beazer to it, the Federal Crown should be aware of the nature of each misrepresentation, when it was made, who made it, to whom it was made and how the Federal Crown relied on it to its detriment. The discovery process should be limited to the known misrepresentations but if other misrepresentations come to light, the Federal Crown can provide further particulars pursuant to Rule 19(11.1).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well, HMM says that Bilfinger is not a single entity but several plaintiffs who have grouped themselves together without distinction in the Amended Statement of Claim, and that HMM is entitled to know to which plaintiff any particular misrepresentation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agree. The plaintiffs ought to be able to focus the issues in their claim against HMM at this stage of the litigation, where considerable discovery has taken place already and the evidence before me suggests each party has invested a significant amount of time in preparing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grant HMM an Order that the plaintiffs provide better particulars of the alleged misrepresentations alleged at para. 61 of the Amended Statement of Claim, including for each representation: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where, who made the representation;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the representation made;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it untrue, inaccurate, or misleading;</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which plaintiff was the representation made.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Particulars of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HMM also seeks particulars of the plaintiffs' claim at para. 70 of the Amended Statement of Claim that HMM breached a duty to warn in "various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have provided a response which in my view provides sufficient detail of what they say HMM failed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the plaintiffs attempt to reserve their rights to state that further particulars may be provided after full document discovery and examinations for discovery,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consider this latter qualification appropriate here. HMM is entitled to know if the plaintiffs presently consider that there were other instances of non-disclosure or breaches of the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more is learned during the discovery process, the plaintiffs can add to their particulars. But the open-ended wording they have used to reserve their rights to add more suggests that they can take HMM by surprise at trial, and this is not an appropriate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conclude that the open-ended answers provided at items 7(g); 8(g), 9(g), and 10(g) of Bilfinger's Reply to Request for Particulars dated November 20, 2013 are not proper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HMM is entitled to an order that the plaintiffs clarify as to whether or not they are presently aware of any other particulars in respect of para. 70 of the Amended Statement of Claim, other than those already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claim in their relief sought against HMM,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HMM submits that the plaintiffs must identify which plaintiff is advancing what heads of damages claimed against it, as there may well be differing defences that apply depending on the specifics of the damages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regard, HMM points to the fact that the tunneling construction contract between Metro Vancouver and Bilfinger was a contract involving the joint venture entity, which it suggests at best involves two of the plaintiffs but not the first named plaintiff, Bilfinger Berger (Canada) Inc. That contract contained a limitation of liability clause at clause 6.1.11, which HMM argues excludes any claim for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rely on Rule 3-7(14) which provides that where general damages are claimed, the amount claimed must not be stated in any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say they will provide particulars of special damages in advance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consider this one topic for which information should be disclosed in layers. The first layer should involve disclosure of the heads of special damages that each plaintiff intends to claim against HMM as special damages. The plaintiffs should provide these particulars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a later stage but in advance of trial, the plaintiffs should provide the actual calculations of special damages that they claim under these heads of damages. I will make no order for this at this stage because it appears that the plaintiffs acknowledge their intention to do this. If the parties cannot reach agreement on an appropriate timeline for this disclosure, they can always seek directions from this Court as with all other case management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HMM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HMM has also brought an application to strike two parts of the plaintiffs' Amended Statement of Claim:</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punitive damages, stated at paras. 72, 76, 79 and item (p) of the prayer for relief in the Amended Statement of Claim;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HMM owed them "duties of fairness and good faith", which HMM allegedly breached, set out at paras. 82-83 of the Amended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 on Application to Strike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parties are in agreement as to the applicable legal principles on an application to strike a claim as disclosing no reasonable claim pursuant to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is whether, assuming the facts pleaded are true, it is "plain and obvious" that the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party must plead the material facts necessary to support the cause of action: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xml:space="preserve"> at paras.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Dealing with the claim for punitive damages, HMM argues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pleaded by the plaintiffs against it do not support a claim for punitive damages. It argues that such damages are only awarded where there are findings akin to fraud or oppressive or high-handed conduct, marking a departure from ordinary standards of decency: </w:t>
      </w:r>
      <w:r>
        <w:rPr>
          <w:rFonts w:ascii="arial" w:eastAsia="arial" w:hAnsi="arial" w:cs="arial"/>
          <w:i/>
          <w:color w:val="000000"/>
          <w:sz w:val="20"/>
          <w:lang w:val="en-US" w:eastAsia="en-US" w:bidi="ar-SA"/>
        </w:rPr>
        <w:t>Whiten v. Pilot Insurance Company</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67, punitive damages will largely be restricted to intentional torts or breach of fiduciary duty, but they can also be awarded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HMM submits that no material facts supporting a claim for punitive damages have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HMM points out that ordinarily there are adverse cost consequences if a party carelessly pleads that the opposite party engaged in the kinds of conduct that result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HMM submits that the plaintiffs ought not to be able to skirt the rules of pleading or avoid the risk of costs if they are seeking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submit that there is case law to support the conclusion that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an engineer can ground a punitive damages claim, relying on </w:t>
      </w:r>
      <w:r>
        <w:rPr>
          <w:rFonts w:ascii="arial" w:eastAsia="arial" w:hAnsi="arial" w:cs="arial"/>
          <w:i/>
          <w:color w:val="000000"/>
          <w:sz w:val="20"/>
          <w:lang w:val="en-US" w:eastAsia="en-US" w:bidi="ar-SA"/>
        </w:rPr>
        <w:t>Cook v Bowen Island Realty Ltd.</w:t>
      </w:r>
      <w:r>
        <w:rPr>
          <w:rFonts w:ascii="arial" w:eastAsia="arial" w:hAnsi="arial" w:cs="arial"/>
          <w:color w:val="000000"/>
          <w:sz w:val="20"/>
          <w:lang w:val="en-US" w:eastAsia="en-US" w:bidi="ar-SA"/>
        </w:rPr>
        <w:t xml:space="preserve"> </w:t>
      </w:r>
      <w:hyperlink r:id="rId1190" w:history="1">
        <w:r>
          <w:rPr>
            <w:rFonts w:ascii="arial" w:eastAsia="arial" w:hAnsi="arial" w:cs="arial"/>
            <w:i/>
            <w:color w:val="0077CC"/>
            <w:sz w:val="20"/>
            <w:u w:val="single"/>
            <w:shd w:val="clear" w:color="auto" w:fill="FFFFFF"/>
            <w:lang w:val="en-US" w:eastAsia="en-US" w:bidi="ar-SA"/>
          </w:rPr>
          <w:t>(1997), 39 B.C.L.R. (3d) 12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is not a pleadings case, and there is very little analysis as to why the trial judge concluded that the engineer's negligent conduct was high-handed and justified an award of punitive damages. The mere fact the engineer created an unacceptable safety risk was presumably not enough to support this award, as other parties who did so suffered an award of exemplary damages but not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Nevertheless, I accept that, conceptually, punitive damages are a category of damages and not an independent cause of action, and so can arise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submit that there are sufficient facts pleaded in support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HMM to support an arguable claim for punitive damages. They point out that the allegations they have pleaded could lead to a conclusion that HMM deliberately exposed Bilfinger to safety risks without justification, through HMM's alleged design failures, failure to inspect, and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87, the pejorative terms used to support an award of punitive damages, such as "harsh, vindictive, reprehensible and malicious" are conclusory rather than explanatory. I do not find it necessary that the plaintiffs plead similar adjectives in their claim in order to support the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ultimately agree with the plaintiffs that the test to sustain the pleading is met. Sufficient material facts are pleaded to support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Whether or not the claim that these facts give rise to punitive damages will in large part be a matter of argument, and will ultimately depend on the trial judge's characterization of the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application by HMM to strike out the plaintiffs' claim for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should note that striking out the punitive damages claim was HMM's primary position on the joint applications before me. As a secondary position, it sought particulars of the punitive damages claim. However, I am of the view that sufficient particulars of this claim have been provided, and so this aspect of the HMM application for particulars is not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of Breach of Duty of Fairness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plead at paras. 82-83 of the Amended Statement of Claim as follows:</w:t>
      </w:r>
      <w:r>
        <w:rPr>
          <w:rFonts w:ascii="arial" w:eastAsia="arial" w:hAnsi="arial" w:cs="arial"/>
          <w:sz w:val="20"/>
          <w:lang w:val="en-US" w:eastAsia="en-US" w:bidi="ar-SA"/>
        </w:rPr>
        <w:cr/>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HMM owed to Bilfinger Berger duties of fairness and good faith in performing its design and consulting engineering services for the Project. HMM performed its services in a manner that breached these duties, causing Bilfinger Berger to suffer expenses, losses, costs and damages.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Bilfinger Berger claims special, general and punitive damages as a result against Metro Vancouver and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have already noted, the plaintiffs do not plead that they had any contractual relationship with HMM, nor do they plead that HMM and the plaintiffs were negotiating terms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pleading of breach of duty of fairness and good faith frames this cause of action as a tort, as it falls under a heading "VI. Torts by Metro Vancouver and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say quite simply there is no such known tort as a breach of duty of fairness and good faith and this part of the claim should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accept that no such tort has yet been found by a court to exist, but they say that no court has held that no such duty could exist. They argue that the facts of this case may support a finding that such a duty should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have provided me with no academic commentary, no dissenting judgments, no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in judgments, and no legal research whatsoever to support the development of such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This issue has arisen from time to time as between parties involved in contract negotiations or contractual relationships, and plaintiffs have been unsuccessful in British Columbia in advancing a claim for a free-standing non-contractual duty of good faith: see </w:t>
      </w:r>
      <w:r>
        <w:rPr>
          <w:rFonts w:ascii="arial" w:eastAsia="arial" w:hAnsi="arial" w:cs="arial"/>
          <w:i/>
          <w:color w:val="000000"/>
          <w:sz w:val="20"/>
          <w:lang w:val="en-US" w:eastAsia="en-US" w:bidi="ar-SA"/>
        </w:rPr>
        <w:t>TNL Paving Ltd. v. British Columbia (Ministry of Transportation and Highways)</w:t>
      </w:r>
      <w:r>
        <w:rPr>
          <w:rFonts w:ascii="arial" w:eastAsia="arial" w:hAnsi="arial" w:cs="arial"/>
          <w:color w:val="000000"/>
          <w:sz w:val="20"/>
          <w:lang w:val="en-US" w:eastAsia="en-US" w:bidi="ar-SA"/>
        </w:rPr>
        <w:t xml:space="preserve"> </w:t>
      </w:r>
      <w:hyperlink r:id="rId1191" w:history="1">
        <w:r>
          <w:rPr>
            <w:rFonts w:ascii="arial" w:eastAsia="arial" w:hAnsi="arial" w:cs="arial"/>
            <w:i/>
            <w:color w:val="0077CC"/>
            <w:sz w:val="20"/>
            <w:u w:val="single"/>
            <w:shd w:val="clear" w:color="auto" w:fill="FFFFFF"/>
            <w:lang w:val="en-US" w:eastAsia="en-US" w:bidi="ar-SA"/>
          </w:rPr>
          <w:t>(1999), 46 CL.R. (2d) 165</w:t>
        </w:r>
      </w:hyperlink>
      <w:r>
        <w:rPr>
          <w:rFonts w:ascii="arial" w:eastAsia="arial" w:hAnsi="arial" w:cs="arial"/>
          <w:color w:val="000000"/>
          <w:sz w:val="20"/>
          <w:lang w:val="en-US" w:eastAsia="en-US" w:bidi="ar-SA"/>
        </w:rPr>
        <w:t xml:space="preserve"> (B.C.S.C) at paras. 320-321; </w:t>
      </w:r>
      <w:r>
        <w:rPr>
          <w:rFonts w:ascii="arial" w:eastAsia="arial" w:hAnsi="arial" w:cs="arial"/>
          <w:i/>
          <w:color w:val="000000"/>
          <w:sz w:val="20"/>
          <w:lang w:val="en-US" w:eastAsia="en-US" w:bidi="ar-SA"/>
        </w:rPr>
        <w:t>Dilcon Constructors Inc. v. British Columbia Hydro &amp; Power Authority</w:t>
      </w:r>
      <w:r>
        <w:rPr>
          <w:rFonts w:ascii="arial" w:eastAsia="arial" w:hAnsi="arial" w:cs="arial"/>
          <w:color w:val="000000"/>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(1992), 7 C.L.R. (2d) 22</w:t>
        </w:r>
      </w:hyperlink>
      <w:r>
        <w:rPr>
          <w:rFonts w:ascii="arial" w:eastAsia="arial" w:hAnsi="arial" w:cs="arial"/>
          <w:color w:val="000000"/>
          <w:sz w:val="20"/>
          <w:lang w:val="en-US" w:eastAsia="en-US" w:bidi="ar-SA"/>
        </w:rPr>
        <w:t xml:space="preserve"> (B.C.S.C.) at paras. 180-188</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at para. 72 (although this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have given me no principled basis to find an independent duty of fairness and good faith in a situation even more remote than one in which the parties were in pre-contract negotiations or a contractual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large implications for all sorts of relationships, not just commercial, if the court was to create a free-standing legal duty of good faith between parties who deliberately did not contract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and the neighbour principles that evolve from it are sufficiently broad and flexible to capture any duty of care that might be owed by HMM to any of the plaintiffs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are unable to articulate any argument as to why an independent duty of fairness would succeed if a claim in negligent misrepresentation would not, on the facts alleged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the allegations of a claim for an independent tort based on breach of a duty of fairness and good faith are not supported at law. I accept HMM's argument that this claim should be struck out. HMM's application to strike paragraphs 82 and 83 of the Amended Statement of Claim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HMM's application for particulars of the plaintiff's allegations in the Amended Statement of Claim is granted in the following respects:</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ordered to provide better particulars of the alleged misrepresentations alleged at para. 61 of the Amended Statement of Claim, including for each representation: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where, who made the representation;</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the representation made;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it untrue, inaccurate, or misleading;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which plaintiff was the representation made;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ordered to clarify as to whether or not it is presently aware of any other particulars in respect of para. 70 of the Amended Statement of Claim other than those it has now provided;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ordered to provide the particulars of the heads of special damages that each plaintiff intends to claim against HMM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HMM's application to strike paragraphs 82 and 83 of the Amended Statement of Claim is granted; but its application to strike the claim for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27,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attached Reasons for Judgment of Madam Justice S. Griffin dated December 17, 2013 have been edited to correct typographical errors as follows.</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spelling of counsel's name on the front page is corrected to David Claassen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74 is deleted and the new paragraph 74 shall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 I conclude that the allegations of a claim for an independent tort based on breach of a duty of fairness and good faith are not supported at law. I accept HMM's argument that this claim should be struck out. HMM's application to strike paragraphs 82 and 83 of the Amended Statement of Claim is granted.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76 is deleted and the new paragraph 76 shall read: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HMM's application to strike paragraphs 82 and 83 of the Amended Statement of Claim is granted; but its application to strike the claim for punitive damages is dismissed.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1"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94"/>
          <w:headerReference w:type="default" r:id="rId1195"/>
          <w:footerReference w:type="even" r:id="rId1196"/>
          <w:footerReference w:type="default" r:id="rId1197"/>
          <w:headerReference w:type="first" r:id="rId1198"/>
          <w:footerReference w:type="first" r:id="rId1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00" w:history="1">
        <w:r>
          <w:rPr>
            <w:rFonts w:ascii="arial" w:eastAsia="arial" w:hAnsi="arial" w:cs="arial"/>
            <w:b/>
            <w:bCs/>
            <w:i/>
            <w:color w:val="0077CC"/>
            <w:kern w:val="32"/>
            <w:sz w:val="28"/>
            <w:szCs w:val="32"/>
            <w:u w:val="single"/>
            <w:shd w:val="clear" w:color="auto" w:fill="FFFFFF"/>
            <w:lang w:val="en-US" w:eastAsia="en-US" w:bidi="ar-SA"/>
          </w:rPr>
          <w:t>Blanco-Arriba v. British Columbia, [2001] B.C.J. No. 2376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C995195, S004684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B.C.L.R. (3d)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(3d)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428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1557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Juan Antonio Blanco-Arriba, plaintiff, and Her Majesty the Queen in Right of the Province of British Columbia, defendant (Vancouver Registry No. C995195) And between Juan Antonio Blanco-Arriba, plaintiff, and Her Majesty the Queen in Right of the Province of British Columbia, defendant (Vancouver Registry No. S004684)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1" w:name="Keywords_47"/>
      <w:bookmarkEnd w:id="321"/>
      <w:r>
        <w:rPr>
          <w:rFonts w:ascii="arial" w:eastAsia="arial" w:hAnsi="arial" w:cs="arial"/>
          <w:b/>
          <w:color w:val="000000"/>
          <w:sz w:val="20"/>
          <w:lang w:val="en-US" w:eastAsia="en-US" w:bidi="ar-SA"/>
        </w:rPr>
        <w:t>Labour law — Labour relations board and judicial review — Boards, jurisdiction — Public service labour relations — Civil action — When available — Jurisdiction of courts — For Charter or human rights legislation relief.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2" w:name="Case Summary_46"/>
            <w:bookmarkEnd w:id="3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the Province of British Columbia, for leave to set down and determine a point of law before trial, or, alternatively, for an order striking out Blanco-Arriba's statement of claim. Blanco-Arriba worked as a social worker with the province's Ministry of Social Services. A dispute with his superiors escalated to the point that Blanco-Arriba filed 59 grievances under the applicable collective agreement. Blanco-Arriba's union represented him at the grievance hearing and reached a compromise with the province. However, Blanco-Arriba commenced two lawsuits without counsel, alleging that the province and its employees had damaged him by discriminating against him, defaming him, and wrongfully firing him, and that the union had breached its duty of fair representation. The province argued that the court did not have jurisdiction, as all the matters in issue were within the exclusive jurisdiction of the arbitrator.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3" w:name="Holdings of Court_40"/>
            <w:bookmarkEnd w:id="32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actions were dismissed on the ground that the court lacked jurisdiction. The matter was determinable as a point of law before trial, given that the jurisdictional issue was clearly defined in the pleadings, and the issues of whether the collective agreement governed and the essential character of the disputes were capable of resolution without determining the disputed facts. While Blanco-Arriba made human rights claims in his pleadings, they were based on the Canadian Charter of Rights and Freedoms or on amorphous discrimination complaints. This made them justiciable before an arbitrator, as labour arbitrators had jurisdiction to determine Charter claims. The subject-matter of the dispute was a labour relations matter within the arbitrator's exclusive jurisdiction.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4" w:name="Legislation Cited_38"/>
      <w:bookmarkEnd w:id="3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3"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19(24),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Information and Privacy Act, R.S.B.C. 2996, c.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1201" w:history="1">
        <w:r>
          <w:rPr>
            <w:rFonts w:ascii="arial" w:eastAsia="arial" w:hAnsi="arial" w:cs="arial"/>
            <w:i/>
            <w:color w:val="0077CC"/>
            <w:sz w:val="20"/>
            <w:u w:val="single"/>
            <w:shd w:val="clear" w:color="auto" w:fill="FFFFFF"/>
            <w:lang w:val="en-US" w:eastAsia="en-US" w:bidi="ar-SA"/>
          </w:rPr>
          <w:t>R.S.B.C. 1996, c. 244, ss. 82</w:t>
        </w:r>
      </w:hyperlink>
      <w:r>
        <w:rPr>
          <w:rFonts w:ascii="arial" w:eastAsia="arial" w:hAnsi="arial" w:cs="arial"/>
          <w:color w:val="000000"/>
          <w:sz w:val="20"/>
          <w:lang w:val="en-US" w:eastAsia="en-US" w:bidi="ar-SA"/>
        </w:rPr>
        <w:t>(1), 84(1), 89, 92(2), 95(a),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5" w:name="Counsel_48"/>
      <w:bookmarkEnd w:id="3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4"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K.L. Johnston,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8"/>
      <w:bookmarkEnd w:id="326"/>
      <w:r>
        <w:pict>
          <v:line id="_x0000_s1275"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C.L. SMITH J."/>
            <w:bookmarkEnd w:id="327"/>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Province of British Columbia brings two applications in each of these two actions. The Province asks this Court to grant leave pursuant to Rule 34 to set down and determine a point of law before trial and as a result to hold that this court lacks jurisdiction to hear and determine these actions on their merits. Alternatively, the Province seeks an order under Rule 19(24) to have the plaintiff's statements of claim struck out in their entirety and the actions dismissed. The plaintiff is not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original styles of cause contained a number of unnecessary references and I order that they be amended to read as they do on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1978, the Province hired Mr. Blanco-Arriba as a social worker with the Ministry of Social Services. He was covered by the collective agreement between the Province and the British Columbia Government Employees' Union ("the BCGEU").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1991, the plaintiff claimed that his supervisor had wrongfully accused him of requesting $100.00 from the Ministry for a clothing "extra" in order to pay for babysitting a child in care. His dispute with his superiors led to his filing approximately 15 grievances. The dispute escalated. The plaintiff was assessed by a psychiatrist, Dr. Davis, who concluded that he suffered from a paranoid disorder, and he was placed on disability leave in 1992. However, the plaintiff disagreed that he was disabled. He sought the opinion of a second psychiatrist, Dr. Darley, who disagreed with Dr. Davis's diagnosis and found the plaintiff to have no ongoing mental illness. A third psychiatrist, Dr. Janke, also concluded that there was no psychiatric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insurer, Great-West Life Assurance Company, terminated the plaintiff's Long Term Disability benefits in 1993 after the third opinion. During this period Mr. Blanco-Arriba wrote numerous letters to persons in the government and pursued requests for information under the Freedom of Information and Privacy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A comprehensive independent assessment by another psychiatrist, Dr. Vallance, was planned but did not occur because Mr. Blanco-Arriba refused to co-operate, taking the position that the Ministry had provided Dr. Vallance with documents which would bias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BCGEU and the employer entered into discussions that led to the plaintiff's return to work on May 1, 1995, as a Financial Assistance Worker. He was warned to discontinue writing letters making serious allegations against Ministry officials, but beginning on May 3, 1995 and continuing for the next few months, he continued to do so. He was suspended for a day, then indefinitely, and was then dismissed. He grieved the dismissal under the collective agreement. The union requested an arbitration of the plaintiff's estimated 59 grievances. Vincent Ready was appointed as the sole arbitrator. The hearing did not proceed to the stage of receiving evidence from Mr. Blanco-Arriba; instead, the BCGEU and the employer reached a compromise. It was reflected in the Interim Order issued by the arbitrator on November 10, 1995. That order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I was properly constituted as an arbitrator for jurisdiction to hear and determine all matters in dispute between these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issue in this case are approximately 60 grievances filed by the Union on behalf of Mr. Juan Blanco-Arriba, the grievor, alleging certain violations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hearing and reviewing lengthy submissions from counsel of both parties, I concluded it was not necessary to hear evidence. Rather, I advised parties I would issue an interim order as follows: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and the Employer agree that if the grievor's behaviour, that led to his termination on or about July 20, 1994, was caused by illness which disabled him from performing his job, then, he is entitled to apply for benefits under Appendix IV of the collective agreement subject to the following conditions;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grievor, or the Union on his behalf, may apply for benefits under Addendum 4 of the collective agreement, within 10 days of the date of this Order;</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grievor's application for benefits under this Order, the grievor has a new disability under Addendum 4 of the collective agreement.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arbitration is adjourned sine die.</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shall retain jurisdiction to resolve any disputes arising out of this Interim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note that the arbitrator has retained jurisdiction in this Interim Order and that it does not appear that a final order was ever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complained to the Labour Relations Board that the BCGEU had violated its duty of fair representation. Robert Pekeles, Vice Chair, dismissed the complaint by letter decision dated February 26, 1999, in which he very thoroughly reviewed the evidence and the history of the proceedings. An application for reconsideration to a three-member panel was unsuccessful, and further complaints were considered and dismissed by the Labour Relations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actions were commenced in 1999 and 2000. The original writ of summons and statement of claim in action No. C995195, comprising almost 500 pages, were struck by order of Loo J. of this Court and a new writ of summons and statement of claim were filed August 11,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under rule 34 to set down and determine a point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seeks to have the plaintiff's actions dismissed pursuant to Rule 34 of the Rules of Court, arguing that the issues raised are within the exclusive jurisdiction of an arbitrator appointed pursuant to the collective agreement and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34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A point of law arising from the pleadings may, by consent of the parties or by order of the court, be set down by praecipe for hearing and disposed of at any time before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Where, in the opinion of the court, the decision on the point of law substantially disposes of the whole action or of any distinct claim, ground of defence, set-off, counterclaim or reply, the court may dismiss the action or make any order it thinks just.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question of law be determined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Whether a point of law should be set down to be heard prior to trial is the subject of discretion. The conditions under which such discretion may be exercised are: (1) the point of law to be decided must be raised and clearly defined by the pleadings; (2) assuming the opposite party's allegations are true, they must raise and support a claim or defence in law; (3) the facts relating to the point of law must not be in dispute and the point of law must be capable of being resolved without hearing evidence; (4) the determination of the question must be decisive of the litigation or a substantial issue raised in it; and (5) the court must be satisfied that there is some advantage in proceeding in this manner in that it will greatly shorten the trial or result in a substantial saving of costs [Alcan Smelters &amp; Chemicals Ltd. v. Canada Assoc. of Smelter &amp; Allied Workers, Local 1 </w:t>
      </w:r>
      <w:hyperlink r:id="rId1202" w:history="1">
        <w:r>
          <w:rPr>
            <w:rFonts w:ascii="arial" w:eastAsia="arial" w:hAnsi="arial" w:cs="arial"/>
            <w:i/>
            <w:color w:val="0077CC"/>
            <w:sz w:val="20"/>
            <w:u w:val="single"/>
            <w:shd w:val="clear" w:color="auto" w:fill="FFFFFF"/>
            <w:lang w:val="en-US" w:eastAsia="en-US" w:bidi="ar-SA"/>
          </w:rPr>
          <w:t>(1977), 3 B.C.L.R. 163</w:t>
        </w:r>
      </w:hyperlink>
      <w:r>
        <w:rPr>
          <w:rFonts w:ascii="arial" w:eastAsia="arial" w:hAnsi="arial" w:cs="arial"/>
          <w:color w:val="000000"/>
          <w:sz w:val="20"/>
          <w:lang w:val="en-US" w:eastAsia="en-US" w:bidi="ar-SA"/>
        </w:rPr>
        <w:t xml:space="preserve"> at 165 (S.C.); Can-Dive Services Ltd. v. Pacific Coast Energy Corp. </w:t>
      </w:r>
      <w:hyperlink r:id="rId1203"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(C.A.), application for leave to appeal to S.C.C. dismissed, </w:t>
      </w:r>
      <w:hyperlink r:id="rId1204" w:history="1">
        <w:r>
          <w:rPr>
            <w:rFonts w:ascii="arial" w:eastAsia="arial" w:hAnsi="arial" w:cs="arial"/>
            <w:i/>
            <w:color w:val="0077CC"/>
            <w:sz w:val="20"/>
            <w:u w:val="single"/>
            <w:shd w:val="clear" w:color="auto" w:fill="FFFFFF"/>
            <w:lang w:val="en-US" w:eastAsia="en-US" w:bidi="ar-SA"/>
          </w:rPr>
          <w:t>[1993] S.C.C.A. No. 159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position is that the pleadings do raise and clearly define the question of whether this Court has jurisdiction, given that the claims wholly relate to matters that arose within the employment relationship covered by the collective agreement. The defendant argues that, even assuming the plaintiff's allegations to be true, they do not raise and support a claim over which this Court has jurisdiction, that the determination of this jurisdictional question would be decisive of the litigation and that proceeding to determine that question of law would eliminate the need for a trial and thereby result in a substantial saving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Blanco-Arriba's position as I understand it is that this Court must have jurisdiction, that he deserves his day in court, that he has been unfairly treated throughout in that he has never had an opportunity to testify, and that Rule 34 should not be used to foreclose his pursuit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question I must ask is whether the pleadings disclose a question of law that should be determined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summarize the allegations in the pleadings. In so doing, I have attempted to interpret what the plaintiff is saying and to describe it in the terms ordinarily used in pleadings, in order to define the legal gist of the plaintiff's claims. I believe that the court must make such an attempt, even though Rule 34 applications should be decided on the basis of clear pleadings, in a case such as this where the plaintiff's pleadings in action no. C995195 have already been struck and re-filed, and the pleadings in the other action are similar to the re-filed pleadings in many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action C995195 the plaintiff alleges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discriminated against him contrary to the Canadian Constitution, the Canadian Charter of Rights and Freedoms, the Human Rights Code, the Labour Relations Code, the Criminal Code of Canada, the Public Service Benefit Plan Act, and the Master Agreement, by denying him his social worker job, and it defamed him by accusing him falsely of being mentally ill, causing him more than $400,000 in lost wages, benefits, pension contributions and pensions;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also caused him more than $300,000 in other related damages and comprehensive damages by subjecting him to cruel injustices, in that by being deprived of his income he has been unable to finish a new house that he had begun to build;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deprived him of his ability to go to see his family in Spain every year as had been his practice;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responsible for the unlawful actions and wilful damages caused by nine years of libel and defamation of character committed by Ministers of the government and high-ranking government officials [a list of names is given];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discrimination is related to the plaintiff's being a Catholic priest, a status which he disclosed when he applied for employment;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work attendance and professional services were excellent and he worked thousands of hours of overtime and performed valuable services for his clients;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BCGEU proceeded vigorously against the Province as employer when the Social Credit government was in power, for example in a sexual harassment claim;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New Democratic Party came into power the BCGEU ceased to defend the rights of employees and it denied the plaintiff fair representation;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cannot dismiss an employee without cause;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cannot, under the Master Agreement, deny an employee his job or his salary when the employee does not miss work due to illness or injury, is not sick and is able, willing and ready to work;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sick benefits cannot be abused by the employer and the union in order to deny an employee, who has filed grievances against the employer, his job and to force the withdrawal of the grievances without his consent;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officials [named] harboured horrendous hatred against the plaintiff because he is a Catholic priest, and they abused their positions, discriminated against him and fired him because of that hatred;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representatives falsely accused him of income assistance fraud;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of the defendant's representatives were not part of their job related duties;</w:t>
      </w:r>
    </w:p>
    <w:p>
      <w:pPr>
        <w:numPr>
          <w:numId w:val="1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wrongdoings were committed in order to cover up the first wrongdoing committed against the plaintiff by Doug Woollard, Regional Director, and other officials, in October and November 1991;</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perfectly well that the plaintiff was not mentally ill, because of the medical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of the defendant show that Joy MacPhail and some government officials of her Ministry falsely accused the plaintiff of being threatening and about to resort to violence;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letters written by Dr. Wong and Dr. Darley in 1995 and 1997 prove the wrongdoings and violations of the collective agreement and abuse of public office;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damages as follows: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his B.C. Government social worker job and the satisfaction it brought him and others;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his salary, benefits, pension contributions and RRSP contributions, up to $400,000;</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related damages and comprehensive damages" in the sum of $300,000 because of the inability to complete building his home;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health;</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reputation and of friendships;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many joys of life;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from the pensions.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seeks orders for:</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$9,000,000 damages for libel and defamation of character;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$10,000,000 in punitive damages;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wages with interest;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pension contributions;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 for stress, anxiety, etc.;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$350,000 in comprehensive damages;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may seen fit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Action S004684 the plaintiff alleges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discriminated against him and continues to discriminate against him, contrary to the Canadian Charter of Rights and Freedoms, the Public Service Benefit Plan Act, the collective agreement, the Human Rights Code and the Criminal Code in that the defendant caused him damage, including the loss of his full pension, by falsely and maliciously accusing him of being mentally ill;</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wrongdoings were committed by the Public Service Employee Relations Commission of British Columbia and two of its officials, Tony Belcher and Sean Steele, with the full knowledge and consent of the Minister responsible and the Premier;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discrimination is connected with his being a Catholic priest, which he disclosed when he applied for employment;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work attendance records and professional services provided were always excellent;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dismissal was caused by hatred for him as a Catholic priest and constituted an abuse of public office;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wrongdoings by Tony Belcher began in 1992 and were permitted because the employer is the N.D.P. Government of British Columbia and the BCGEU has been in collusion with the employer and has denied the plaintiff fair representation;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officials Tony Belcher and Sean Steele wrote a letter with a cheque alleging that he was mentally ill and entitled to receive sick benefits and thereby defamed him and caused him damage including the loss of his full pension;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completed a Revenue Canada T-4 form that made false and malicious statements in that it claimed the plaintiff had been paid employment income in 1999, which he had not, and that this gave rise to tax liability;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the defendant made false and malicious statements when it issued a second T-4 form for 1999;</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employee Sean Steele swore an affidavit on May 24, 2000 in which he falsely and maliciously accused the plaintiff of having been mentally ill;</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previous counsel, in order to deny the plaintiff his day in court, played cruel and vicious games in accusing him of not doing his court documents properly and further, the employer can only dismiss for cause and the employer had no right to commit the serious wrongdoings which it has;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losses as a result of the defendant's conduct, including: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full employee pension and full Canada Pension Plan pension;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his reputation;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anxiety, depression, loss of health, and hardships;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"comprehensive damages and other related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seeks orders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$1,500,000 as damages for defamation;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$1,000,000 in punitive and exemplary damages;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all of his lost pensions with interest and ensure that he receives his full employment and Canada Pension Plan pensions until he dies;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$250,000 for pain and suffering and his loss of health, stress, depression, and the like;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$150,000 in comprehensive damages and other related damages;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pay him such other relief as may seem fit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defence in both actions is that the pleadings do not disclose a claim or, in the alternative, that this Court lacks jurisdiction because of the exclusive jurisdiction of the arbitrator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refer back to the conditions under which a court should exercise discretion to hear and determine a point of law before trial. First, is the point of law raised and clearly defined by the pleadings? The pleadings in both actions show that the plaintiff is seeking a remedy for actions which he alleges his employer (through its representatives) has taken against him and for statements which he alleged representatives of his employer have made about him, in particular, statements that he is mentally ill and eligible to receive long-term disability benefits, or willing to receive such benefits fraudulently despite his absence of disability. The defendant in both actions pleads that the court lacks jurisdiction. I find that the point of law is raised and clearly defined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Second, does the question arise in a context where, if the parties' allegations are true, they raise and support a claim and a defence in law? If, as alleged by the plaintiff, the defendant's employees, officials and Ministers of the Crown, maliciously and for discriminatory reasons, deprived the plaintiff of his job, salary and pension, and defamed him by falsely accusing him of being mentally ill or of being willing to claim disability benefits when he was not disabled, he would without doubt have a claim in law. As for the defence, the defendant's plea that the claim cannot be heard due to the exclusive jurisdiction of the arbitrator does constitute a defence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Third, can the point of law be resolved without hearing evidence or resolving disputed facts? The point of law is whether this Court has jurisdiction over the matters raised in these actions. The defendant relies on the principle that where a dispute between an employer and an employee arises under a collective agreement, and the collective agreement is governed by legislation that establishes comprehensive procedures for dispute resolution, a claimant is barred from obtaining a duplicitous civil remedy before the Superior Court. This "exclusive jurisdiction" principle was developed and applied in four decisions of the Supreme Court of Canada: St. Anne Nackawic Pulp &amp; Paper Co. Ltd. v. Canadian Paper Workers Union, Local 219, </w:t>
      </w:r>
      <w:hyperlink r:id="rId1205"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Weber v. Ontario Hydro, </w:t>
      </w:r>
      <w:hyperlink r:id="rId1206"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New Brunswick v. O'Leary, </w:t>
      </w:r>
      <w:hyperlink r:id="rId1207"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and Regina Police Assn. Inc. v. Regina (City) Board of Police Commissioners, </w:t>
      </w:r>
      <w:hyperlink r:id="rId1208"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xml:space="preserve">, </w:t>
      </w:r>
      <w:hyperlink r:id="rId1208"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In St. Anne Nackawic, Estey J. for the Court concluded that allowing concurrent actions in the courts would undermine the purpose of labour relations legislation. At pp. 718-19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collective agreement establishes the broad parameters of the relationship between the employer and his employees. This relationship is properly regulated through arbitration and it would, in general, subvert both the relationship and the statutory scheme under which it arises to hold that matters addressed and governed by the collective agreement may nevertheless be the subject of actions in the courts at common law. ... The more modern approach is to consider that labour relations legislation provides a code governing all aspects of labour relations, and that it would offend the legislative scheme to permit the parties to a collective agreement, or the employees on whose behalf it was negotiated, to have recourse to the ordinary courts which are in the circumstances a duplicative forum to which the legislature has not assigned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Weber, McLachlin J., as she then was, set out the reasons why an exclusive jurisdiction model should be preferred to both concurrent and overlapping jurisdiction models. She observed that the exclusive jurisdiction model: (1) gives full credit to the language of labour relations legislation, which states that collective agreements shall provide for the final and binding settlement of disputes by arbitration; (2) accords with the Supreme Court's approach in St. Anne Nackawic; (3) satisfies the concern that the dispute resolution processes which the various labour statutes across Canada have established should not be duplicated and undermined by concurrent actions; and (4) conforms to a pattern of growing judicial deference for the arbitration and grievance process and correlative restrictions on the rights of parties to proceed with parallel or overlapping litigation in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the essential character of the difference between the parties, not the legal framework in which the dispute is cast, which will be determinative of the appropriate forum for settlement of the issue. In O'Leary, the Supreme Court held that a claim brought by an employer against an employee for driving its leased vehicle with a flat tire, thereby causing the employer to incur repair costs, was governed by labour legislation providing for binding arbitration of disputes that involved the "interpretation, application or administration" of the collective agreement. Although the employer argued that its action was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on the collective agreement, McLachlin J. for the Court decided otherwise [reversing the decision of the New Brunswick Court of Appeal: </w:t>
      </w:r>
      <w:hyperlink r:id="rId1209" w:history="1">
        <w:r>
          <w:rPr>
            <w:rFonts w:ascii="arial" w:eastAsia="arial" w:hAnsi="arial" w:cs="arial"/>
            <w:i/>
            <w:color w:val="0077CC"/>
            <w:sz w:val="20"/>
            <w:u w:val="single"/>
            <w:shd w:val="clear" w:color="auto" w:fill="FFFFFF"/>
            <w:lang w:val="en-US" w:eastAsia="en-US" w:bidi="ar-SA"/>
          </w:rPr>
          <w:t>(1993), 141 N.B.R. (2d) 157</w:t>
        </w:r>
      </w:hyperlink>
      <w:r>
        <w:rPr>
          <w:rFonts w:ascii="arial" w:eastAsia="arial" w:hAnsi="arial" w:cs="arial"/>
          <w:color w:val="000000"/>
          <w:sz w:val="20"/>
          <w:lang w:val="en-US" w:eastAsia="en-US" w:bidi="ar-SA"/>
        </w:rPr>
        <w:t xml:space="preserve"> (C.A.)]. Looking at the "essential character" of the dispute, she held that it arose from the collective agreement. At para. 6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agreement does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work. However,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impliedly</w:t>
      </w:r>
      <w:r>
        <w:rPr>
          <w:rFonts w:ascii="arial" w:eastAsia="arial" w:hAnsi="arial" w:cs="arial"/>
          <w:color w:val="000000"/>
          <w:sz w:val="20"/>
          <w:lang w:val="en-US" w:eastAsia="en-US" w:bidi="ar-SA"/>
        </w:rPr>
        <w:t xml:space="preserve"> falls under the collective agreement. Again, it must be underscored that it is the essential character of the difference between the parties, not the legal framework in which the dispute is cast, which will be determinative of the appropriate forum for settlement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Similarly, in Weber, McLachlin J. for the majority (and for the entire Court on this point) stated at para. 52 that "[t]he question in each case is whether the dispute, in its essential character, arises from the interpretation, application, administration or violation of the collective agreement". In that case, the Court upheld decisions by the lower courts striking a tort action brought by an employee against his employer. While the Ontario Court of Appeal [</w:t>
      </w:r>
      <w:hyperlink r:id="rId1210" w:history="1">
        <w:r>
          <w:rPr>
            <w:rFonts w:ascii="arial" w:eastAsia="arial" w:hAnsi="arial" w:cs="arial"/>
            <w:i/>
            <w:color w:val="0077CC"/>
            <w:sz w:val="20"/>
            <w:u w:val="single"/>
            <w:shd w:val="clear" w:color="auto" w:fill="FFFFFF"/>
            <w:lang w:val="en-US" w:eastAsia="en-US" w:bidi="ar-SA"/>
          </w:rPr>
          <w:t>(1992), 11 O.R. (3d) 609</w:t>
        </w:r>
      </w:hyperlink>
      <w:r>
        <w:rPr>
          <w:rFonts w:ascii="arial" w:eastAsia="arial" w:hAnsi="arial" w:cs="arial"/>
          <w:color w:val="000000"/>
          <w:sz w:val="20"/>
          <w:lang w:val="en-US" w:eastAsia="en-US" w:bidi="ar-SA"/>
        </w:rPr>
        <w:t xml:space="preserve"> (C.A.)] had overturned the decision of the trial judge in part, allowing an action based on a breach of the employee's Charter rights to stand, the majority of the Supreme Court disagreed, holding that the power and duty of arbitrators to apply the law extends to the Charter. The majority held that statutory tribunals created by Parliament or the legislatures may be courts of competent jurisdiction, able to grant remedies under s. 24(1) of the Charter, provided they have jurisdiction over the parties and the subject matter of the dispute and are empowered to make the orders sought (in that case, damages and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McLachlin J. held that disputes arising from a collective agreement fall within the exclusive jurisdiction of an arbitrator if the applicable legislation so provides, thereby precluding the possibility of suit before the courts, she recognized that the courts will retain jurisdiction in certain cases to deal with disputes between employers and employees. In this regard, she stated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does not preclude all actions in the courts between employer and employee. Only disputes which expressly or inferentially arise out of the collective agreement are foreclosed to the courts. . . . Additionally, the courts possess residual jurisdiction based on their special powers,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may exercise its inherent jurisdiction in those cases where a remedy is required that an arbitrator is not empowered to grant. What must be avoided is a "real deprivation of ultimate remedy": Weber at para. 57, citing St. Anne Nackawic at p. 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exclusive jurisdiction approach was affirmed by the Supreme Court of Canada in Regina Police, where the question was which of two legislative schemes - arbitration pursuant to a collective agreement or proceedings pursuant to the provincial Police Act - should apply to a dispute between a police officer and his employer. Following Weber, Bastarache J. for the Court reiterated that if the essential character of a dispute arises either explicitly or implicitly from the interpretation, application, administration or violation of a collective agreement, the dispute is within the sole jurisdiction of the labour arbitrator. At para. 25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whether a dispute arises out of the collective agreement, we must therefore consider two elements: the nature of the dispute and the ambit of the collective agreement. In considering the nature of the dispute, the goal is to determine its essential character. This determination must proceed on the basis of the facts surrounding the dispute between the parties, and not on the basis of how the legal issues may be framed .... Simply, the decision-maker must determine whether, having examined the factual context of the dispute, its essential character concerns a subject matter that is covered by the collective agreement. Upon determining the essential character of the dispute, the decision-maker must examine the provisions of the collective agreement to determine whether it contemplates such factual situations. It is clear that the collective agreement need not provide for the subject matter of the dispute explicitly.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Bastarache J. concluded that the essential character of the dispute was disciplinary, that the informal resolution of the dispute had not changed its essential character and that the Police Act and Regulations provided the proper forum for resolving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precondition to determining the point of law regarding the jurisdiction of this Court over the plaintiff's actions, it would be necessary to:</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there was a collective agreement governing the relationship between the plaintiff and the defendant;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essential character of the disputes in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Each of those issues can be resolved without determining disputed facts. There is no doubt that the BCGEU collective agreement governed the employment relationship between the plaintiff and the defendant. Judging by the plaintiff's pleadings, it is possible to determine the essential nature of the dispute without resolving any disputed facts: the dispute arose out of the circumstances in which the plaintiff was disciplined, suspended, reinstated, suspended and then dismissed, in which he was put on disability benefits against his wishes, and in which alleged statements were made about him within the Ministry and to others (such as to Dr. Vallance and to the insurer, and in affidavits) to the effect that he was mentally ill or that he wished to receive disability benefits fraudulently. In deciding whether that dispute arise from the interpretation, application, administration or violation of the collective agreement, the parameters of the dispute as set out in the plaintiff's pleadings can be compared with the provisions of the collective agreement. I conclude that the point of law is capable of being resolved without hearing evidence or resolving disputed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Turning to the fourth and fifth factors to be considered in the exercise of discretion to permit determination of a question of law before trial, it is obvious both that determination of the question could be decisive of the litigation or of a substantial issue raised in it and that resolving it before trial could greatly shorten the trial or result in a substantial saving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in sum, I am satisfied that this is a case in which the use of Rule 34 to determine a question of law before trial is appropriate, and I will proceed to address that question of law.</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this Court have jurisdiction to determine the claims raised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reviewed above the leading Supreme Court of Canada authorities stating the law in this area. The relevant statute, the Labour Relations Code,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(1) It is the purpose of this Part to constitute methods and procedures for determining grievances and resolving disputes under the provisions of a collective agreement without resort to stoppages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(1) Every collective agreement must contain a provision governing dismissal or discipline of an employee bound by the agreement, and that or another provision must require that the employer have a just and reasonable cause for dismissal or discipline of an employee, but this section does not prohibit the parties to a collective agreement from including in it a different provision for employment of certain employees on a probationary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For the purposes set out in section 82, an arbitration board has the authority necessary to provide a final and conclusive settlement of a dispute arising under a collective agreement, and without limitation, may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to reinstate an employee dismissed in contravention of a collective agreement,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or trade union to rescind and rectify a disciplinary action that was taken in respect of an employee and that was imposed in contravention of a collective agreement,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that a dismissal or discipline is excessive in all circumstances of the case and substitute other measures that appear just and equitable,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(2) The jurisdiction of an arbitration board to hear and determine a difference does not cease until the matters in dispute have been finally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decision of an arbitration board is binding</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Except as provided in this Part, the decision or award of an arbitration board under this Code is final and conclusive and is not open to question or review in a court on any grounds whatsoever, and proceedings by or before an arbitration board must not be restrained by injunction, prohibition or other process or proceeding in a court and are not removable by certiorari or otherwise into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collective agreement between the Province and the BCGEU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Grievance Procedure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and the Union recognize that grievances may arise concerning:</w:t>
      </w:r>
    </w:p>
    <w:p>
      <w:pPr>
        <w:numPr>
          <w:numId w:val="3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differences between the parties respecting the interpretation, application, operation, or any alleged violation of a provision of this Agreement, Component Agreements, or arbitral award, including a question as to whether or not a matter is subject to arbitration; or</w:t>
      </w:r>
    </w:p>
    <w:p>
      <w:pPr>
        <w:numPr>
          <w:numId w:val="3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discipline, or suspension of an employee bound by this Agreement.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for resolving a grievance shall be the grievance procedure in this Article.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8.12 Deviation from Grievance Procedure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agrees that, after a grievance has been initiated by the Union, the Employer's representatives will not enter into discussion or negotiation with respect to the grievance, either directly or indirectly with the aggrieved employee without the consent of the Union.</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after having initiated a grievance through the grievance procedure, an employee endeavours to pursue the same grievance through any other channel, then the Union agrees that, pursuant to this Article, the grievance shall be considered to have been abandoned.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employee has filed a complaint with the Ombudsman or the Employment Standards Branch, the grievance shall be deemed to be abandoned unless the complaint is withdrawn, in writing, within 45 days of it being filed.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(b) above, an employee who has filed a complaint with the Human Rights Council shall not have their grievance deemed abandoned through the filing of the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Assignment of a Single Arbitrator</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party has requested that a grievance be submitted to an arbitration and either party has requested that a hearing date be set, an arbitrator will be assigned from the mutually agreed upon list of single arbitrators.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Decision of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majority shall be the decision of the Board. Where there is no majority decision, the decision of the Chairperson shall be the decision of the Board. The decision of the Arbitration Board shall be final, binding, and enforceable on the parties. The Board shall have the power to dispose of a discharge or discipline grievance by any arrangement which it deems just and equitable. However, the Board shall not have the power to change this Agreement or to alter, modify, or amend any of its provisions or the provisions of the Component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Estey J. stated in St. Anne Nackawic, at pp. 718-19, the labour relations legislation provides a code governing all aspects of labour relations, and it would offend the legislative scheme to permit an employee covered by that agreement to have recourse to the ordinary courts in addition to the recourse provided by the grievance and arbitration procedure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the dispute, in its essential character, involves the interpretation, application or violation of the collective agreement, then the court does not have jurisdiction. On the other hand, where the employee seeks a remedy which the arbitrator is not empowered to grant, it is a different matter and the court retains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Identifying the essential character of a given dispute is a fact-driven exercise. As stated by McLachlin J. at para. 53 of Weber, "[b]ecause the nature of the dispute and the ambit of the collective agreement will vary from case to case, it is impossible to categorize the classes of case that will fall within the exclusive jurisdiction of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Weber itself, McLachlin J. reviewed a number of lower court decisions that had dealt with competing jurisdiction in labour disputes, and noted that courts had declined (or had been found to lack) jurisdiction in claims of wrongful dismissal, constructive dismissal, bad faith on the part of the union, conspiracy, and damage to reputation. This list was substantially expanded by Weber and O'Leary: the Supreme Court held that the courts lacked jurisdiction over the grievors' claims in trespass, nuisance, deceit, invasion of privacy,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ruling that the essence of those claims was a dispute under the collective agreement. In O'Leary, the Court held that the New Brunswick Court of Appeal had erred in stating without qualification that "[n]egligence can be the subject of an action independent of the collective agreement" [O'Leary, at para. 4 (N.B.C.A.)]. In fact,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the subject of a court action only if the dispute, viewed in its essential character, does not arise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Since Weber and O'Leary, courts across Canada have held that where the factual matrix in which the dispute arises is an employer and employee relationship under a collective agreement, the jurisdiction of the arbitrator is exclusive, rejecting any residual or concurrent jurisdiction over the matter. Courts have held that they lacked jurisdiction over claims of:</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wrongful dismissal or constructive dismissal [Bouchard v. Canada (Minister of National Defence) </w:t>
      </w:r>
      <w:hyperlink r:id="rId1211" w:history="1">
        <w:r>
          <w:rPr>
            <w:rFonts w:ascii="arial" w:eastAsia="arial" w:hAnsi="arial" w:cs="arial"/>
            <w:i/>
            <w:color w:val="0077CC"/>
            <w:sz w:val="20"/>
            <w:u w:val="single"/>
            <w:shd w:val="clear" w:color="auto" w:fill="FFFFFF"/>
            <w:lang w:val="en-US" w:eastAsia="en-US" w:bidi="ar-SA"/>
          </w:rPr>
          <w:t>(1999), 187 D.L.R. (4th) 314</w:t>
        </w:r>
      </w:hyperlink>
      <w:r>
        <w:rPr>
          <w:rFonts w:ascii="arial" w:eastAsia="arial" w:hAnsi="arial" w:cs="arial"/>
          <w:color w:val="000000"/>
          <w:sz w:val="20"/>
          <w:lang w:val="en-US" w:eastAsia="en-US" w:bidi="ar-SA"/>
        </w:rPr>
        <w:t xml:space="preserve"> (Fed. C.A.); Webber v. Kelowna (City), </w:t>
      </w:r>
      <w:hyperlink r:id="rId1212" w:history="1">
        <w:r>
          <w:rPr>
            <w:rFonts w:ascii="arial" w:eastAsia="arial" w:hAnsi="arial" w:cs="arial"/>
            <w:i/>
            <w:color w:val="0077CC"/>
            <w:sz w:val="20"/>
            <w:u w:val="single"/>
            <w:shd w:val="clear" w:color="auto" w:fill="FFFFFF"/>
            <w:lang w:val="en-US" w:eastAsia="en-US" w:bidi="ar-SA"/>
          </w:rPr>
          <w:t>[2001] B.C.J. No. 434</w:t>
        </w:r>
      </w:hyperlink>
      <w:r>
        <w:rPr>
          <w:rFonts w:ascii="arial" w:eastAsia="arial" w:hAnsi="arial" w:cs="arial"/>
          <w:color w:val="000000"/>
          <w:sz w:val="20"/>
          <w:lang w:val="en-US" w:eastAsia="en-US" w:bidi="ar-SA"/>
        </w:rPr>
        <w:t xml:space="preserve">; </w:t>
      </w:r>
      <w:hyperlink r:id="rId1212" w:history="1">
        <w:r>
          <w:rPr>
            <w:rFonts w:ascii="arial" w:eastAsia="arial" w:hAnsi="arial" w:cs="arial"/>
            <w:i/>
            <w:color w:val="0077CC"/>
            <w:sz w:val="20"/>
            <w:u w:val="single"/>
            <w:shd w:val="clear" w:color="auto" w:fill="FFFFFF"/>
            <w:lang w:val="en-US" w:eastAsia="en-US" w:bidi="ar-SA"/>
          </w:rPr>
          <w:t>2001 BCSC 189</w:t>
        </w:r>
      </w:hyperlink>
      <w:r>
        <w:rPr>
          <w:rFonts w:ascii="arial" w:eastAsia="arial" w:hAnsi="arial" w:cs="arial"/>
          <w:color w:val="000000"/>
          <w:sz w:val="20"/>
          <w:lang w:val="en-US" w:eastAsia="en-US" w:bidi="ar-SA"/>
        </w:rPr>
        <w: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conspiracy to deprive an employee of his or her employment [Bhaduria v. Toronto Board of Education </w:t>
      </w:r>
      <w:hyperlink r:id="rId1213" w:history="1">
        <w:r>
          <w:rPr>
            <w:rFonts w:ascii="arial" w:eastAsia="arial" w:hAnsi="arial" w:cs="arial"/>
            <w:i/>
            <w:color w:val="0077CC"/>
            <w:sz w:val="20"/>
            <w:u w:val="single"/>
            <w:shd w:val="clear" w:color="auto" w:fill="FFFFFF"/>
            <w:lang w:val="en-US" w:eastAsia="en-US" w:bidi="ar-SA"/>
          </w:rPr>
          <w:t>(1999), 173 D.L.R. (4th) 382</w:t>
        </w:r>
      </w:hyperlink>
      <w:r>
        <w:rPr>
          <w:rFonts w:ascii="arial" w:eastAsia="arial" w:hAnsi="arial" w:cs="arial"/>
          <w:color w:val="000000"/>
          <w:sz w:val="20"/>
          <w:lang w:val="en-US" w:eastAsia="en-US" w:bidi="ar-SA"/>
        </w:rPr>
        <w:t xml:space="preserve"> (Ont. C.A.), application for leave to appeal to S.C.C. dismissed, </w:t>
      </w:r>
      <w:hyperlink r:id="rId1214" w:history="1">
        <w:r>
          <w:rPr>
            <w:rFonts w:ascii="arial" w:eastAsia="arial" w:hAnsi="arial" w:cs="arial"/>
            <w:i/>
            <w:color w:val="0077CC"/>
            <w:sz w:val="20"/>
            <w:u w:val="single"/>
            <w:shd w:val="clear" w:color="auto" w:fill="FFFFFF"/>
            <w:lang w:val="en-US" w:eastAsia="en-US" w:bidi="ar-SA"/>
          </w:rPr>
          <w:t>[1999] S.C.C.A. No. 212</w:t>
        </w:r>
      </w:hyperlink>
      <w:r>
        <w:rPr>
          <w:rFonts w:ascii="arial" w:eastAsia="arial" w:hAnsi="arial" w:cs="arial"/>
          <w:color w:val="000000"/>
          <w:sz w:val="20"/>
          <w:lang w:val="en-US" w:eastAsia="en-US" w:bidi="ar-SA"/>
        </w:rPr>
        <w:t xml:space="preserve">; Jadwani v. Canada (Attorney General) </w:t>
      </w:r>
      <w:hyperlink r:id="rId1215" w:history="1">
        <w:r>
          <w:rPr>
            <w:rFonts w:ascii="arial" w:eastAsia="arial" w:hAnsi="arial" w:cs="arial"/>
            <w:i/>
            <w:color w:val="0077CC"/>
            <w:sz w:val="20"/>
            <w:u w:val="single"/>
            <w:shd w:val="clear" w:color="auto" w:fill="FFFFFF"/>
            <w:lang w:val="en-US" w:eastAsia="en-US" w:bidi="ar-SA"/>
          </w:rPr>
          <w:t>(2001), 52 O.R. (3d) 660</w:t>
        </w:r>
      </w:hyperlink>
      <w:r>
        <w:rPr>
          <w:rFonts w:ascii="arial" w:eastAsia="arial" w:hAnsi="arial" w:cs="arial"/>
          <w:color w:val="000000"/>
          <w:sz w:val="20"/>
          <w:lang w:val="en-US" w:eastAsia="en-US" w:bidi="ar-SA"/>
        </w:rPr>
        <w:t xml:space="preserve"> (C.A.), application for leave to appeal to S.C.C. dismissed, </w:t>
      </w:r>
      <w:hyperlink r:id="rId1216" w:history="1">
        <w:r>
          <w:rPr>
            <w:rFonts w:ascii="arial" w:eastAsia="arial" w:hAnsi="arial" w:cs="arial"/>
            <w:i/>
            <w:color w:val="0077CC"/>
            <w:sz w:val="20"/>
            <w:u w:val="single"/>
            <w:shd w:val="clear" w:color="auto" w:fill="FFFFFF"/>
            <w:lang w:val="en-US" w:eastAsia="en-US" w:bidi="ar-SA"/>
          </w:rPr>
          <w:t>[2001] S.C.C.A. No. 200</w:t>
        </w:r>
      </w:hyperlink>
      <w:r>
        <w:rPr>
          <w:rFonts w:ascii="arial" w:eastAsia="arial" w:hAnsi="arial" w:cs="arial"/>
          <w:color w:val="000000"/>
          <w:sz w:val="20"/>
          <w:lang w:val="en-US" w:eastAsia="en-US" w:bidi="ar-SA"/>
        </w:rPr>
        <w: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denial of job advancement or employment benefits [Oliver v. Saint John (City) Commissioners of Police, </w:t>
      </w:r>
      <w:hyperlink r:id="rId1217" w:history="1">
        <w:r>
          <w:rPr>
            <w:rFonts w:ascii="arial" w:eastAsia="arial" w:hAnsi="arial" w:cs="arial"/>
            <w:i/>
            <w:color w:val="0077CC"/>
            <w:sz w:val="20"/>
            <w:u w:val="single"/>
            <w:shd w:val="clear" w:color="auto" w:fill="FFFFFF"/>
            <w:lang w:val="en-US" w:eastAsia="en-US" w:bidi="ar-SA"/>
          </w:rPr>
          <w:t>[2001] N.B.J. No. 105</w:t>
        </w:r>
      </w:hyperlink>
      <w:r>
        <w:rPr>
          <w:rFonts w:ascii="arial" w:eastAsia="arial" w:hAnsi="arial" w:cs="arial"/>
          <w:color w:val="000000"/>
          <w:sz w:val="20"/>
          <w:lang w:val="en-US" w:eastAsia="en-US" w:bidi="ar-SA"/>
        </w:rPr>
        <w:t xml:space="preserve">; </w:t>
      </w:r>
      <w:hyperlink r:id="rId1217" w:history="1">
        <w:r>
          <w:rPr>
            <w:rFonts w:ascii="arial" w:eastAsia="arial" w:hAnsi="arial" w:cs="arial"/>
            <w:i/>
            <w:color w:val="0077CC"/>
            <w:sz w:val="20"/>
            <w:u w:val="single"/>
            <w:shd w:val="clear" w:color="auto" w:fill="FFFFFF"/>
            <w:lang w:val="en-US" w:eastAsia="en-US" w:bidi="ar-SA"/>
          </w:rPr>
          <w:t>2001 NBCA 28</w:t>
        </w:r>
      </w:hyperlink>
      <w:r>
        <w:rPr>
          <w:rFonts w:ascii="arial" w:eastAsia="arial" w:hAnsi="arial" w:cs="arial"/>
          <w:color w:val="000000"/>
          <w:sz w:val="20"/>
          <w:lang w:val="en-US" w:eastAsia="en-US" w:bidi="ar-SA"/>
        </w:rPr>
        <w:t xml:space="preserve">, affirming </w:t>
      </w:r>
      <w:hyperlink r:id="rId1218" w:history="1">
        <w:r>
          <w:rPr>
            <w:rFonts w:ascii="arial" w:eastAsia="arial" w:hAnsi="arial" w:cs="arial"/>
            <w:i/>
            <w:color w:val="0077CC"/>
            <w:sz w:val="20"/>
            <w:u w:val="single"/>
            <w:shd w:val="clear" w:color="auto" w:fill="FFFFFF"/>
            <w:lang w:val="en-US" w:eastAsia="en-US" w:bidi="ar-SA"/>
          </w:rPr>
          <w:t>(2000), 234 N.B.R. (2d) 7</w:t>
        </w:r>
      </w:hyperlink>
      <w:r>
        <w:rPr>
          <w:rFonts w:ascii="arial" w:eastAsia="arial" w:hAnsi="arial" w:cs="arial"/>
          <w:color w:val="000000"/>
          <w:sz w:val="20"/>
          <w:lang w:val="en-US" w:eastAsia="en-US" w:bidi="ar-SA"/>
        </w:rPr>
        <w:t xml:space="preserve"> (Q.B.); Ruscetta v. Graham </w:t>
      </w:r>
      <w:hyperlink r:id="rId1219" w:history="1">
        <w:r>
          <w:rPr>
            <w:rFonts w:ascii="arial" w:eastAsia="arial" w:hAnsi="arial" w:cs="arial"/>
            <w:i/>
            <w:color w:val="0077CC"/>
            <w:sz w:val="20"/>
            <w:u w:val="single"/>
            <w:shd w:val="clear" w:color="auto" w:fill="FFFFFF"/>
            <w:lang w:val="en-US" w:eastAsia="en-US" w:bidi="ar-SA"/>
          </w:rPr>
          <w:t>(1998), 36 C.C.E.L. (2d) 177</w:t>
        </w:r>
      </w:hyperlink>
      <w:r>
        <w:rPr>
          <w:rFonts w:ascii="arial" w:eastAsia="arial" w:hAnsi="arial" w:cs="arial"/>
          <w:color w:val="000000"/>
          <w:sz w:val="20"/>
          <w:lang w:val="en-US" w:eastAsia="en-US" w:bidi="ar-SA"/>
        </w:rPr>
        <w:t xml:space="preserve"> (Ont. C.A.), application for leave to appeal to S.C.C. dismissed, </w:t>
      </w:r>
      <w:hyperlink r:id="rId1220" w:history="1">
        <w:r>
          <w:rPr>
            <w:rFonts w:ascii="arial" w:eastAsia="arial" w:hAnsi="arial" w:cs="arial"/>
            <w:i/>
            <w:color w:val="0077CC"/>
            <w:sz w:val="20"/>
            <w:u w:val="single"/>
            <w:shd w:val="clear" w:color="auto" w:fill="FFFFFF"/>
            <w:lang w:val="en-US" w:eastAsia="en-US" w:bidi="ar-SA"/>
          </w:rPr>
          <w:t>[1998] S.C.C.A. No. 220</w:t>
        </w:r>
      </w:hyperlink>
      <w:r>
        <w:rPr>
          <w:rFonts w:ascii="arial" w:eastAsia="arial" w:hAnsi="arial" w:cs="arial"/>
          <w:color w:val="000000"/>
          <w:sz w:val="20"/>
          <w:lang w:val="en-US" w:eastAsia="en-US" w:bidi="ar-SA"/>
        </w:rPr>
        <w: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contractual relations [Jadwani v. Canada];</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deceit, negligent misrepresentation and conspiracy; Maynard v. Arvin Ride Control Products </w:t>
      </w:r>
      <w:hyperlink r:id="rId1221" w:history="1">
        <w:r>
          <w:rPr>
            <w:rFonts w:ascii="arial" w:eastAsia="arial" w:hAnsi="arial" w:cs="arial"/>
            <w:i/>
            <w:color w:val="0077CC"/>
            <w:sz w:val="20"/>
            <w:u w:val="single"/>
            <w:shd w:val="clear" w:color="auto" w:fill="FFFFFF"/>
            <w:lang w:val="en-US" w:eastAsia="en-US" w:bidi="ar-SA"/>
          </w:rPr>
          <w:t>(2000), 49 C.C.L.T. (2d) 305</w:t>
        </w:r>
      </w:hyperlink>
      <w:r>
        <w:rPr>
          <w:rFonts w:ascii="arial" w:eastAsia="arial" w:hAnsi="arial" w:cs="arial"/>
          <w:color w:val="000000"/>
          <w:sz w:val="20"/>
          <w:lang w:val="en-US" w:eastAsia="en-US" w:bidi="ar-SA"/>
        </w:rPr>
        <w:t xml:space="preserve"> (Ont. Sup. Ct. Jus.);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infliction of mental distress where the "infliction" is closely associated with the employment relationship and is captured by the collective agreement [Maynard v. Arvin; Bhaduria v. Toronto Board of Education];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handling of employee complaints [Cooney v. Durham Board of Education </w:t>
      </w:r>
      <w:hyperlink r:id="rId1222" w:history="1">
        <w:r>
          <w:rPr>
            <w:rFonts w:ascii="arial" w:eastAsia="arial" w:hAnsi="arial" w:cs="arial"/>
            <w:i/>
            <w:color w:val="0077CC"/>
            <w:sz w:val="20"/>
            <w:u w:val="single"/>
            <w:shd w:val="clear" w:color="auto" w:fill="FFFFFF"/>
            <w:lang w:val="en-US" w:eastAsia="en-US" w:bidi="ar-SA"/>
          </w:rPr>
          <w:t>(1998), 37 C.C.E.L. (2d) 161</w:t>
        </w:r>
      </w:hyperlink>
      <w:r>
        <w:rPr>
          <w:rFonts w:ascii="arial" w:eastAsia="arial" w:hAnsi="arial" w:cs="arial"/>
          <w:color w:val="000000"/>
          <w:sz w:val="20"/>
          <w:lang w:val="en-US" w:eastAsia="en-US" w:bidi="ar-SA"/>
        </w:rPr>
        <w:t xml:space="preserve"> (Ont. Gen. Div.); Johnson-Paquette v. Canada </w:t>
      </w:r>
      <w:hyperlink r:id="rId1223" w:history="1">
        <w:r>
          <w:rPr>
            <w:rFonts w:ascii="arial" w:eastAsia="arial" w:hAnsi="arial" w:cs="arial"/>
            <w:i/>
            <w:color w:val="0077CC"/>
            <w:sz w:val="20"/>
            <w:u w:val="single"/>
            <w:shd w:val="clear" w:color="auto" w:fill="FFFFFF"/>
            <w:lang w:val="en-US" w:eastAsia="en-US" w:bidi="ar-SA"/>
          </w:rPr>
          <w:t>(2000), 253 N.R. 305</w:t>
        </w:r>
      </w:hyperlink>
      <w:r>
        <w:rPr>
          <w:rFonts w:ascii="arial" w:eastAsia="arial" w:hAnsi="arial" w:cs="arial"/>
          <w:color w:val="000000"/>
          <w:sz w:val="20"/>
          <w:lang w:val="en-US" w:eastAsia="en-US" w:bidi="ar-SA"/>
        </w:rPr>
        <w:t xml:space="preserve"> (Fed. C.A.), affirming </w:t>
      </w:r>
      <w:hyperlink r:id="rId1224" w:history="1">
        <w:r>
          <w:rPr>
            <w:rFonts w:ascii="arial" w:eastAsia="arial" w:hAnsi="arial" w:cs="arial"/>
            <w:i/>
            <w:color w:val="0077CC"/>
            <w:sz w:val="20"/>
            <w:u w:val="single"/>
            <w:shd w:val="clear" w:color="auto" w:fill="FFFFFF"/>
            <w:lang w:val="en-US" w:eastAsia="en-US" w:bidi="ar-SA"/>
          </w:rPr>
          <w:t>(1998), 159 F.T.R. 42</w:t>
        </w:r>
      </w:hyperlink>
      <w:r>
        <w:rPr>
          <w:rFonts w:ascii="arial" w:eastAsia="arial" w:hAnsi="arial" w:cs="arial"/>
          <w:color w:val="000000"/>
          <w:sz w:val="20"/>
          <w:lang w:val="en-US" w:eastAsia="en-US" w:bidi="ar-SA"/>
        </w:rPr>
        <w:t xml:space="preserve"> (T.D.)];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union's breach of its duty of fair representation [Maynard v. Arvin; Oliver v. Saint John];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or damages to reputation where the alleged wrongful acts or statements are closely associated with the employment relationship and are captured by the collective agreement [this area will be discussed separately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other cases, courts have held that the essential dispute did not arise under the collective agreement and have retained jurisdiction over the matter. In general, these disputes are in some sense separated from the employment relationship. For example, in Piko v. Hudson's Bay Co. </w:t>
      </w:r>
      <w:hyperlink r:id="rId1225" w:history="1">
        <w:r>
          <w:rPr>
            <w:rFonts w:ascii="arial" w:eastAsia="arial" w:hAnsi="arial" w:cs="arial"/>
            <w:i/>
            <w:color w:val="0077CC"/>
            <w:sz w:val="20"/>
            <w:u w:val="single"/>
            <w:shd w:val="clear" w:color="auto" w:fill="FFFFFF"/>
            <w:lang w:val="en-US" w:eastAsia="en-US" w:bidi="ar-SA"/>
          </w:rPr>
          <w:t>(1998), 167 D.L.R. (4th) 479</w:t>
        </w:r>
      </w:hyperlink>
      <w:r>
        <w:rPr>
          <w:rFonts w:ascii="arial" w:eastAsia="arial" w:hAnsi="arial" w:cs="arial"/>
          <w:color w:val="000000"/>
          <w:sz w:val="20"/>
          <w:lang w:val="en-US" w:eastAsia="en-US" w:bidi="ar-SA"/>
        </w:rPr>
        <w:t xml:space="preserve"> (Ont. C.A.), application for leave to appeal to S.C.C. dismissed, </w:t>
      </w:r>
      <w:hyperlink r:id="rId1226" w:history="1">
        <w:r>
          <w:rPr>
            <w:rFonts w:ascii="arial" w:eastAsia="arial" w:hAnsi="arial" w:cs="arial"/>
            <w:i/>
            <w:color w:val="0077CC"/>
            <w:sz w:val="20"/>
            <w:u w:val="single"/>
            <w:shd w:val="clear" w:color="auto" w:fill="FFFFFF"/>
            <w:lang w:val="en-US" w:eastAsia="en-US" w:bidi="ar-SA"/>
          </w:rPr>
          <w:t>[1999] S.C.C.A. No. 23</w:t>
        </w:r>
      </w:hyperlink>
      <w:r>
        <w:rPr>
          <w:rFonts w:ascii="arial" w:eastAsia="arial" w:hAnsi="arial" w:cs="arial"/>
          <w:color w:val="000000"/>
          <w:sz w:val="20"/>
          <w:lang w:val="en-US" w:eastAsia="en-US" w:bidi="ar-SA"/>
        </w:rPr>
        <w:t>, the Ontario Court of Appeal held that the court below had jurisdiction over an action in malicious prosecution. Based on an alleged incident of fraud in the workplace, the employer had dismissed the employee and initiated criminal proceedings against her. The Court noted that a claim by the employee that she had been unjustly dismissed would fall under the collective agreement, but held that her claim that the defendant had maliciously prosecuted her in criminal court lay outside its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Similarly, enforcement of legislation which a labour arbitrator has no jurisdiction to apply or tort claims arising out of other legal proceedings that fall outside the scope of a collective agreement have been held to be within the jurisdiction of the courts, or, more frequently, within the jurisdiction of some other statutory body. This was the case in Regina Police, where the Supreme Court of Canada held that the essential character of the dispute was disciplinary and thus should be dealt with under the Police Act disciplinary procedures rather than through labour arbitration. In Praskey v. Metropolitan Toronto Police Services Board </w:t>
      </w:r>
      <w:hyperlink r:id="rId1227" w:history="1">
        <w:r>
          <w:rPr>
            <w:rFonts w:ascii="arial" w:eastAsia="arial" w:hAnsi="arial" w:cs="arial"/>
            <w:i/>
            <w:color w:val="0077CC"/>
            <w:sz w:val="20"/>
            <w:u w:val="single"/>
            <w:shd w:val="clear" w:color="auto" w:fill="FFFFFF"/>
            <w:lang w:val="en-US" w:eastAsia="en-US" w:bidi="ar-SA"/>
          </w:rPr>
          <w:t>(1997), 143 D.L.R. (4th) 298</w:t>
        </w:r>
      </w:hyperlink>
      <w:r>
        <w:rPr>
          <w:rFonts w:ascii="arial" w:eastAsia="arial" w:hAnsi="arial" w:cs="arial"/>
          <w:color w:val="000000"/>
          <w:sz w:val="20"/>
          <w:lang w:val="en-US" w:eastAsia="en-US" w:bidi="ar-SA"/>
        </w:rPr>
        <w:t xml:space="preserve"> (Ont. C.A.), a police sergeant claimed in defamation, malicious prosecution,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certain disciplinary proceedings which had been commenced against him but ultimately dismissed. The Court of Appeal held that the court below retained jurisdiction over the matter. This dispute was twice-removed from the realm of the collective agreement, being a separate tort action (as in Piko v. Hudson's Bay) related to conduct in a separate statutory forum (as in Regina Police).</w:t>
      </w:r>
      <w:r>
        <w:rPr>
          <w:rFonts w:ascii="arial" w:eastAsia="arial" w:hAnsi="arial" w:cs="arial"/>
          <w:sz w:val="20"/>
          <w:lang w:val="en-US" w:eastAsia="en-US" w:bidi="ar-SA"/>
        </w:rPr>
        <w:cr/>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With respect to discrimination claims, an employee may choose to bring a complaint under provincial or federal human rights legislation where the collective agreement already incorporates such rights or provides parallel rights. Consistent with the Regina Police approach to competing administrative forums, courts have found that parties cannot contract out of human rights legislation, and that labour arbitrators do not have exclusive jurisdiction over human rights complaints. For examples of this approach, see Cadillac Fairview Corp. v. Saskatchewan (Human Rights Code Board of Inquiry) </w:t>
      </w:r>
      <w:hyperlink r:id="rId1228" w:history="1">
        <w:r>
          <w:rPr>
            <w:rFonts w:ascii="arial" w:eastAsia="arial" w:hAnsi="arial" w:cs="arial"/>
            <w:i/>
            <w:color w:val="0077CC"/>
            <w:sz w:val="20"/>
            <w:u w:val="single"/>
            <w:shd w:val="clear" w:color="auto" w:fill="FFFFFF"/>
            <w:lang w:val="en-US" w:eastAsia="en-US" w:bidi="ar-SA"/>
          </w:rPr>
          <w:t>(1999), 173 D.L.R. (4th) 609</w:t>
        </w:r>
      </w:hyperlink>
      <w:r>
        <w:rPr>
          <w:rFonts w:ascii="arial" w:eastAsia="arial" w:hAnsi="arial" w:cs="arial"/>
          <w:color w:val="000000"/>
          <w:sz w:val="20"/>
          <w:lang w:val="en-US" w:eastAsia="en-US" w:bidi="ar-SA"/>
        </w:rPr>
        <w:t xml:space="preserve"> (Sask. C.A.), application for leave to appeal to S.C.C. dismissed, </w:t>
      </w:r>
      <w:hyperlink r:id="rId1229" w:history="1">
        <w:r>
          <w:rPr>
            <w:rFonts w:ascii="arial" w:eastAsia="arial" w:hAnsi="arial" w:cs="arial"/>
            <w:i/>
            <w:color w:val="0077CC"/>
            <w:sz w:val="20"/>
            <w:u w:val="single"/>
            <w:shd w:val="clear" w:color="auto" w:fill="FFFFFF"/>
            <w:lang w:val="en-US" w:eastAsia="en-US" w:bidi="ar-SA"/>
          </w:rPr>
          <w:t>[1999] S.C.C.A. No. 492</w:t>
        </w:r>
      </w:hyperlink>
      <w:r>
        <w:rPr>
          <w:rFonts w:ascii="arial" w:eastAsia="arial" w:hAnsi="arial" w:cs="arial"/>
          <w:color w:val="000000"/>
          <w:sz w:val="20"/>
          <w:lang w:val="en-US" w:eastAsia="en-US" w:bidi="ar-SA"/>
        </w:rPr>
        <w:t xml:space="preserve">; British Columbia v. Tozer </w:t>
      </w:r>
      <w:hyperlink r:id="rId1230" w:history="1">
        <w:r>
          <w:rPr>
            <w:rFonts w:ascii="arial" w:eastAsia="arial" w:hAnsi="arial" w:cs="arial"/>
            <w:i/>
            <w:color w:val="0077CC"/>
            <w:sz w:val="20"/>
            <w:u w:val="single"/>
            <w:shd w:val="clear" w:color="auto" w:fill="FFFFFF"/>
            <w:lang w:val="en-US" w:eastAsia="en-US" w:bidi="ar-SA"/>
          </w:rPr>
          <w:t>(1998), 60 B.C.L.R. (3d) 160</w:t>
        </w:r>
      </w:hyperlink>
      <w:r>
        <w:rPr>
          <w:rFonts w:ascii="arial" w:eastAsia="arial" w:hAnsi="arial" w:cs="arial"/>
          <w:color w:val="000000"/>
          <w:sz w:val="20"/>
          <w:lang w:val="en-US" w:eastAsia="en-US" w:bidi="ar-SA"/>
        </w:rPr>
        <w:t xml:space="preserve"> (S.C.); and Calgary (City) v. Cabalde, </w:t>
      </w:r>
      <w:hyperlink r:id="rId1231" w:history="1">
        <w:r>
          <w:rPr>
            <w:rFonts w:ascii="arial" w:eastAsia="arial" w:hAnsi="arial" w:cs="arial"/>
            <w:i/>
            <w:color w:val="0077CC"/>
            <w:sz w:val="20"/>
            <w:u w:val="single"/>
            <w:shd w:val="clear" w:color="auto" w:fill="FFFFFF"/>
            <w:lang w:val="en-US" w:eastAsia="en-US" w:bidi="ar-SA"/>
          </w:rPr>
          <w:t>[2000] A.J. No. 1235</w:t>
        </w:r>
      </w:hyperlink>
      <w:r>
        <w:rPr>
          <w:rFonts w:ascii="arial" w:eastAsia="arial" w:hAnsi="arial" w:cs="arial"/>
          <w:color w:val="000000"/>
          <w:sz w:val="20"/>
          <w:lang w:val="en-US" w:eastAsia="en-US" w:bidi="ar-SA"/>
        </w:rPr>
        <w:t xml:space="preserve"> (Q.B.). As well, where the claimant seeks human rights related remedies outside the jurisdiction of an arbitrator under the collective agreement, he or she will be permitted to pursue those remedies before a human rights commission or court: see Billinkoff v. Winnipeg School Division No. 1 </w:t>
      </w:r>
      <w:hyperlink r:id="rId1232" w:history="1">
        <w:r>
          <w:rPr>
            <w:rFonts w:ascii="arial" w:eastAsia="arial" w:hAnsi="arial" w:cs="arial"/>
            <w:i/>
            <w:color w:val="0077CC"/>
            <w:sz w:val="20"/>
            <w:u w:val="single"/>
            <w:shd w:val="clear" w:color="auto" w:fill="FFFFFF"/>
            <w:lang w:val="en-US" w:eastAsia="en-US" w:bidi="ar-SA"/>
          </w:rPr>
          <w:t>(1999), 170 D.L.R. (4th) 50</w:t>
        </w:r>
      </w:hyperlink>
      <w:r>
        <w:rPr>
          <w:rFonts w:ascii="arial" w:eastAsia="arial" w:hAnsi="arial" w:cs="arial"/>
          <w:color w:val="000000"/>
          <w:sz w:val="20"/>
          <w:lang w:val="en-US" w:eastAsia="en-US" w:bidi="ar-SA"/>
        </w:rPr>
        <w:t xml:space="preserve"> (Man. C.A.). I note that it is well established that there is no civil action for breach of human rights legislation: Seneca College of Applied Arts and Technology v. Bradshaw, </w:t>
      </w:r>
      <w:hyperlink r:id="rId1233"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Where the claimant does not invoke human rights legislation, but relies on the Charter or on an amorphous complaint of "discrimination", as here, there may be exclusive jurisdiction in an arbitrator under the collective agreement. The issue of Charter remedies in a labour relations context is discussed further below.</w:t>
      </w:r>
      <w:r>
        <w:rPr>
          <w:rFonts w:ascii="arial" w:eastAsia="arial" w:hAnsi="arial" w:cs="arial"/>
          <w:sz w:val="20"/>
          <w:lang w:val="en-US" w:eastAsia="en-US" w:bidi="ar-SA"/>
        </w:rPr>
        <w:cr/>
      </w:r>
    </w:p>
    <w:p>
      <w:pPr>
        <w:numPr>
          <w:numId w:val="3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divergent authority on the application of the Weber principles to the resolution of defamation claims (as well as associated claims of infliction of mental suffering). There are instances of courts assuming jurisdiction over defamation claims because they fall outside the normal scope of employer-employee relations. More commonly, however, courts have rejected jurisdiction over such claims because they are, in their essential character, labour relations disputes whose resolution is governed by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Judicial decisions since Weber and O'Leary have moved away from the view that a claim in defamation cannot be excluded from the Courts and have reached conclusions consistent with the Weber principles: an action in defamation will be outside the jurisdiction of the Court if it is in essence a labour relations grievance that is arbitrable under the collective agreement. The distinction between defamation actions that are in essence labour disputes and independent defamation actions is illustrated by Mendoza v. St. Michael's Centre Hospital Society </w:t>
      </w:r>
      <w:hyperlink r:id="rId1234" w:history="1">
        <w:r>
          <w:rPr>
            <w:rFonts w:ascii="arial" w:eastAsia="arial" w:hAnsi="arial" w:cs="arial"/>
            <w:i/>
            <w:color w:val="0077CC"/>
            <w:sz w:val="20"/>
            <w:u w:val="single"/>
            <w:shd w:val="clear" w:color="auto" w:fill="FFFFFF"/>
            <w:lang w:val="en-US" w:eastAsia="en-US" w:bidi="ar-SA"/>
          </w:rPr>
          <w:t>(1998), 36 C.C.E.L. (2d) 252</w:t>
        </w:r>
      </w:hyperlink>
      <w:r>
        <w:rPr>
          <w:rFonts w:ascii="arial" w:eastAsia="arial" w:hAnsi="arial" w:cs="arial"/>
          <w:color w:val="000000"/>
          <w:sz w:val="20"/>
          <w:lang w:val="en-US" w:eastAsia="en-US" w:bidi="ar-SA"/>
        </w:rPr>
        <w:t xml:space="preserve"> (B.C.S.C). There, Tysoe J. held that the plaintiff's action against the hospital for allowing a complaint about him to be "published" in a communication book that was circulated among employees, arose directly out of the employee-employer relationship and was covered by the collective agreement. The action was therefore dismissed. The plaintiff's second action was against a co-worker who had made an allegedly defamatory statement about his sexuality to another co-worker. Tysoe J. allowed that action to continue, stating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alleged defamation relates to a personal characteristic of Mr. Mendoza and does not relate to his character or quality as an employee (see Ruscetta). It is not something which can be redressed through arbitration pursuant to the collective agreement. This aspect of Mr. Mendoza's action should be allowed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two decisions, Fording Coal Ltd. v. U.S.W.A., Local 7884 </w:t>
      </w:r>
      <w:hyperlink r:id="rId1235" w:history="1">
        <w:r>
          <w:rPr>
            <w:rFonts w:ascii="arial" w:eastAsia="arial" w:hAnsi="arial" w:cs="arial"/>
            <w:i/>
            <w:color w:val="0077CC"/>
            <w:sz w:val="20"/>
            <w:u w:val="single"/>
            <w:shd w:val="clear" w:color="auto" w:fill="FFFFFF"/>
            <w:lang w:val="en-US" w:eastAsia="en-US" w:bidi="ar-SA"/>
          </w:rPr>
          <w:t>(1999), 169 D.L.R. (4th) 468</w:t>
        </w:r>
      </w:hyperlink>
      <w:r>
        <w:rPr>
          <w:rFonts w:ascii="arial" w:eastAsia="arial" w:hAnsi="arial" w:cs="arial"/>
          <w:color w:val="000000"/>
          <w:sz w:val="20"/>
          <w:lang w:val="en-US" w:eastAsia="en-US" w:bidi="ar-SA"/>
        </w:rPr>
        <w:t xml:space="preserve"> (B.C.C.A.) and Johnston v. Anderson, </w:t>
      </w:r>
      <w:hyperlink r:id="rId1236" w:history="1">
        <w:r>
          <w:rPr>
            <w:rFonts w:ascii="arial" w:eastAsia="arial" w:hAnsi="arial" w:cs="arial"/>
            <w:i/>
            <w:color w:val="0077CC"/>
            <w:sz w:val="20"/>
            <w:u w:val="single"/>
            <w:shd w:val="clear" w:color="auto" w:fill="FFFFFF"/>
            <w:lang w:val="en-US" w:eastAsia="en-US" w:bidi="ar-SA"/>
          </w:rPr>
          <w:t>[1999] B.C.J. No. 245</w:t>
        </w:r>
      </w:hyperlink>
      <w:r>
        <w:rPr>
          <w:rFonts w:ascii="arial" w:eastAsia="arial" w:hAnsi="arial" w:cs="arial"/>
          <w:color w:val="000000"/>
          <w:sz w:val="20"/>
          <w:lang w:val="en-US" w:eastAsia="en-US" w:bidi="ar-SA"/>
        </w:rPr>
        <w:t xml:space="preserve"> (C.A.), the Court of Appeal of this province has held that the defamation actions in question were disputes that fell "outside the normal scope of employer-employee relations". In Fording Coal, the employer alleged that the president of the union had defamed the employer in newspaper articles criticizing the safety of the employer's production operations. Rowles J.A. in dissent held that the dispute arose inferentially from the collective agreement and thus should be resolved by arbitration. The majority disagreed and held that the matter should be resolved in court. Chief Justice McEachern, for the majority, stated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stated, I do not think this dispute is a labour dispute even though it is between parties who are in an employer-employee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I believe this dispute falls well outside the normal scope of employer-employee relations, and the context of the Collective Agreement is not broad enough to exclude the Company's right of recourse to the regular courts for this action of defamation. In other words, I do not think the Collective Agreement contemplates adjudicating upon the freedom of speech rights of Mr. Takala which are, of course, subject to the law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Johnston v. Anderson, the defendant employees had engaged in various forms of offensive conduct directed at the plaintiff supervisor, including preparing newsletters that criticized and insulted the plaintiff. Unlike the facts in Fording Coal, the publications were only distributed to employees and former employees. Nevertheless, the court held at para. 8 that "the result of this appeal is dictated" by the decision in Fording Coal, and found that the B.C. Supreme Court had jurisdiction to hear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Graham v. Strait Crossing Inc. </w:t>
      </w:r>
      <w:hyperlink r:id="rId1237" w:history="1">
        <w:r>
          <w:rPr>
            <w:rFonts w:ascii="arial" w:eastAsia="arial" w:hAnsi="arial" w:cs="arial"/>
            <w:i/>
            <w:color w:val="0077CC"/>
            <w:sz w:val="20"/>
            <w:u w:val="single"/>
            <w:shd w:val="clear" w:color="auto" w:fill="FFFFFF"/>
            <w:lang w:val="en-US" w:eastAsia="en-US" w:bidi="ar-SA"/>
          </w:rPr>
          <w:t>(1999), 170 D.L.R. (4th) 152</w:t>
        </w:r>
      </w:hyperlink>
      <w:r>
        <w:rPr>
          <w:rFonts w:ascii="arial" w:eastAsia="arial" w:hAnsi="arial" w:cs="arial"/>
          <w:color w:val="000000"/>
          <w:sz w:val="20"/>
          <w:lang w:val="en-US" w:eastAsia="en-US" w:bidi="ar-SA"/>
        </w:rPr>
        <w:t xml:space="preserve"> (P.E.I.S.C.A.D.) a dismissed employee had applied for worker's compensation benefits. The defendant employer sent a letter containing allegedly defamatory statements to the Workers Compensation Board, objecting to the employee's claim. Relying to some extent on the Piko v. Hudson's Bay decision, the Court held that the defamation claim was external to the regular employer-employee relationship as set out in the collective agreement. Since in its view the dispute did not arise from the interpretation, application, administration or violation of the collective agreement, the Court overturned the decision of the trial judge and ruled that the P.E.I. Supreme Court had jurisdiction to decide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cases can be contrasted with a number of decisions where courts have declined jurisdiction over claims of defamation in a labour relations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Ram v. Prasad </w:t>
      </w:r>
      <w:hyperlink r:id="rId1238" w:history="1">
        <w:r>
          <w:rPr>
            <w:rFonts w:ascii="arial" w:eastAsia="arial" w:hAnsi="arial" w:cs="arial"/>
            <w:i/>
            <w:color w:val="0077CC"/>
            <w:sz w:val="20"/>
            <w:u w:val="single"/>
            <w:shd w:val="clear" w:color="auto" w:fill="FFFFFF"/>
            <w:lang w:val="en-US" w:eastAsia="en-US" w:bidi="ar-SA"/>
          </w:rPr>
          <w:t>(1996), 27 B.C.L.R. (3d) 300</w:t>
        </w:r>
      </w:hyperlink>
      <w:r>
        <w:rPr>
          <w:rFonts w:ascii="arial" w:eastAsia="arial" w:hAnsi="arial" w:cs="arial"/>
          <w:color w:val="000000"/>
          <w:sz w:val="20"/>
          <w:lang w:val="en-US" w:eastAsia="en-US" w:bidi="ar-SA"/>
        </w:rPr>
        <w:t xml:space="preserve"> (S.C.), an employee was suspended from work on the grounds of insubordination, assault of a fellow employee, and being intoxicated on the job. In addition to bringing a union grievance, the plaintiff commenced a civil action, claiming that the defendants had defamed him by stating, for example, that he had been intoxicated on the job. Esson C.J.S.C., as he then was, found that the dispute was governed by the collective agreement and thus declined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Giorno v. Pappas </w:t>
      </w:r>
      <w:hyperlink r:id="rId1239" w:history="1">
        <w:r>
          <w:rPr>
            <w:rFonts w:ascii="arial" w:eastAsia="arial" w:hAnsi="arial" w:cs="arial"/>
            <w:i/>
            <w:color w:val="0077CC"/>
            <w:sz w:val="20"/>
            <w:u w:val="single"/>
            <w:shd w:val="clear" w:color="auto" w:fill="FFFFFF"/>
            <w:lang w:val="en-US" w:eastAsia="en-US" w:bidi="ar-SA"/>
          </w:rPr>
          <w:t>(1990), 170 D.L.R. (4th) 160</w:t>
        </w:r>
      </w:hyperlink>
      <w:r>
        <w:rPr>
          <w:rFonts w:ascii="arial" w:eastAsia="arial" w:hAnsi="arial" w:cs="arial"/>
          <w:color w:val="000000"/>
          <w:sz w:val="20"/>
          <w:lang w:val="en-US" w:eastAsia="en-US" w:bidi="ar-SA"/>
        </w:rPr>
        <w:t xml:space="preserve"> (Ont. C.A.), the defendant was a Rent Review Board member and the plaintiff worked with the Board under the authority of the Ministry of Housing. The defendant wrote a memorandum criticizing the plaintiff and circulated it to members of the Board, the Ministry and the plaintiff's union. The Ontario Court of Appeal upheld the court below which had dismissed the plaintiff's defamation action for lack of jurisdiction. Gouge J.A. noted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to the facts of this dispute, they are all workplace related. The October 5 memorandum was written and circulated in the workplace. It addressed a workplace problem, namely how Ms. Giorno did her work. Its author worked on the same team as Ms. Giorno. The recipients of the memorandum were all people who could have been expected to be informed of a problem in her working relationship with the respondent Pappas.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To similar effect is Ruscetta v. Graham. There, the Ontario Court of Appeal found that it did not have jurisdiction over a defamation claim brought by an employee against a fellow employee for comments written in a memorandum reviewed as part of a benefits grievance. The Court held that the memorandum was an integral part of the defendant's job as a liaison between the employer and the Workers Compensation Board, it concerned the plaintiff's character, quality and history as an employee, and the subject matter was within the purview of the collective agreement. This decision can be contrasted with Graham v. Strait Crossing, where it was not part of the defendant's workplace role to send comments about the plaintiff to the Workers Compensation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Caressant Care Nursing and Retirement Homes Ltd. v. Priest, </w:t>
      </w:r>
      <w:hyperlink r:id="rId1240" w:history="1">
        <w:r>
          <w:rPr>
            <w:rFonts w:ascii="arial" w:eastAsia="arial" w:hAnsi="arial" w:cs="arial"/>
            <w:i/>
            <w:color w:val="0077CC"/>
            <w:sz w:val="20"/>
            <w:u w:val="single"/>
            <w:shd w:val="clear" w:color="auto" w:fill="FFFFFF"/>
            <w:lang w:val="en-US" w:eastAsia="en-US" w:bidi="ar-SA"/>
          </w:rPr>
          <w:t>[1999] O.J. No. 4744</w:t>
        </w:r>
      </w:hyperlink>
      <w:r>
        <w:rPr>
          <w:rFonts w:ascii="arial" w:eastAsia="arial" w:hAnsi="arial" w:cs="arial"/>
          <w:color w:val="000000"/>
          <w:sz w:val="20"/>
          <w:lang w:val="en-US" w:eastAsia="en-US" w:bidi="ar-SA"/>
        </w:rPr>
        <w:t xml:space="preserve"> (S.C.J.) the defendant was a union business agent who was responsible for advising union members in the negotiation of their collective agreement with the plaintiff. The defendant caused to be published a number of documents criticizing the working and living environment provided by the employer, prompting the employer to sue in defamation. The publications were distributed both within the employer-employee relationship and outside of it, to the general public. Beaulieu J. noted that the collective agreement was similar to that in Fording Coal, but found that the fact that the allegedly defamatory publications were distributed outside of the workplace did not alter their essential character. He ruled that the Ontario Labour Relations Board had exclusive jurisdiction to hear the dispute. See also Hanover Nursing Home Limited v. London and District Service Workers' Union, Local 220, </w:t>
      </w:r>
      <w:hyperlink r:id="rId1241" w:history="1">
        <w:r>
          <w:rPr>
            <w:rFonts w:ascii="arial" w:eastAsia="arial" w:hAnsi="arial" w:cs="arial"/>
            <w:i/>
            <w:color w:val="0077CC"/>
            <w:sz w:val="20"/>
            <w:u w:val="single"/>
            <w:shd w:val="clear" w:color="auto" w:fill="FFFFFF"/>
            <w:lang w:val="en-US" w:eastAsia="en-US" w:bidi="ar-SA"/>
          </w:rPr>
          <w:t>[1999] O.J. No. 666</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Haight-Smith v. Neden et al. </w:t>
      </w:r>
      <w:hyperlink r:id="rId1242" w:history="1">
        <w:r>
          <w:rPr>
            <w:rFonts w:ascii="arial" w:eastAsia="arial" w:hAnsi="arial" w:cs="arial"/>
            <w:i/>
            <w:color w:val="0077CC"/>
            <w:sz w:val="20"/>
            <w:u w:val="single"/>
            <w:shd w:val="clear" w:color="auto" w:fill="FFFFFF"/>
            <w:lang w:val="en-US" w:eastAsia="en-US" w:bidi="ar-SA"/>
          </w:rPr>
          <w:t>(2000), 2 C.C.L.T. (3d) 148</w:t>
        </w:r>
      </w:hyperlink>
      <w:r>
        <w:rPr>
          <w:rFonts w:ascii="arial" w:eastAsia="arial" w:hAnsi="arial" w:cs="arial"/>
          <w:color w:val="000000"/>
          <w:sz w:val="20"/>
          <w:lang w:val="en-US" w:eastAsia="en-US" w:bidi="ar-SA"/>
        </w:rPr>
        <w:t xml:space="preserve"> (B.C.S.C.), a teacher who had retired following a period of conflict, grievances, and investigations involving other school personnel brought actions against the principal of the school, other teachers, the superintendent and assistant superintendent, a secretary at the school, a support worker at the school, a custodian at the school, and the school district itself. Clancy J. stated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allegations against them are extensive. There are allegations that defamatory statements were made during the investigation process, allegations of continuous negligent malicious or arbitrary acts in the exercise of managerial functions, and allegations of making false statements during that process. Ms. Haight-Smith claims for aggravated, exemplary and punitive damages for injury to her reputation and hindrance to her in carrying on her profession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Unlike the circumstances in Fording Coal, Johnston v. Anderson, and Graham v. Strait Crossing, the alleged defamation consisted of statements made in and around the grievance and investigation process itself. Relying on a number of authorities, including Ram v. Prasad and Giorno v. Pappas, Clancy J. dismissed all of the plaintiff's claims against any defendants who were parties to the collective agreement on the basis that the court was without jurisdiction. He dismissed the claims against the remaining defendants on an unrelated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Bhaduria v. Toronto Board of Education involved similar circumstances. There, the plaintiff teacher brought an action alleging defamation, intentional infliction of mental suffering, conspiracy, and a number of Charter breaches. The claims related to the conduct and statements of the Board of Education and its trustees during the period leading up to its decision to dismiss the plaintiff. The trial judge rejected jurisdiction over all of the plaintiff's claims except that in defamation. The Ontario Court of Appeal ruled that that claim should be dismissed as well, stating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character of Mr. Bhaduria's claim for defamation pertains to his termination from his teaching position and, as such, arises under the collective agreement. Weber precludes Mr. Bhaduria from proceeding with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Steel J.A. of the Manitoba Court of Appeal provided a useful summary of many of the above cases in Phillips v. Harrison </w:t>
      </w:r>
      <w:hyperlink r:id="rId1243" w:history="1">
        <w:r>
          <w:rPr>
            <w:rFonts w:ascii="arial" w:eastAsia="arial" w:hAnsi="arial" w:cs="arial"/>
            <w:i/>
            <w:color w:val="0077CC"/>
            <w:sz w:val="20"/>
            <w:u w:val="single"/>
            <w:shd w:val="clear" w:color="auto" w:fill="FFFFFF"/>
            <w:lang w:val="en-US" w:eastAsia="en-US" w:bidi="ar-SA"/>
          </w:rPr>
          <w:t>(2000), 196 D.L.R. (4th) 69</w:t>
        </w:r>
      </w:hyperlink>
      <w:r>
        <w:rPr>
          <w:rFonts w:ascii="arial" w:eastAsia="arial" w:hAnsi="arial" w:cs="arial"/>
          <w:color w:val="000000"/>
          <w:sz w:val="20"/>
          <w:lang w:val="en-US" w:eastAsia="en-US" w:bidi="ar-SA"/>
        </w:rPr>
        <w:t xml:space="preserve"> (Man. C.A.) [a case which was decided on the basis that the legislated dispute resolution mechanism in question was not as comprehensive as that in Weber and associated cases]. There, a civilian member of the R.C.M.P. sued for defamation, alleging that her former supervisor had falsely said that she was mentally ill. The Court held that, given the terms of the collective agreement, which did not provide that the grievance process was the exclusive means of dispute resolution, the action could proceed in court. The Court of Appeal set out the following framework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otherwise defamatory statements may be considered to be work related and to be adjudicated pursuant to the alternative dispute mechanism if:</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comments concern the employee's character, history, or capacity as an employee;</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comments were made by someone whose job it was to communicate a workplace problem;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comments were made to persons who would be expected to be informed of workplace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Fording Coal and Johnston v. Anderson, the Court of Appeal did not say that courts retain jurisdiction over all defamation claims; it held that the particular disputes before it fell outside the normal scope of employer-employee relations. In the case before me, the dispute, which relates to the employer's reasons for disciplining and then terminating the employee, and to the employer's statements regarding the employee's eligibility for disability benefits, falls squarely within the normal scope of employer-employee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my view that the essential character of the defamation claims in these actions is a labour relations dispute. This conclusion is consistent with the approach adopted by the majority of our Court of Appeal in Fording Coal and Johnston v. Anderson because the subject matter of the plaintiff's complaint is in no sense external to normal employer-employee relations as covered by the BCGEU collective agreement. The alleged defamatory statements concern the plaintiff's history and capacity as an employee, and they were made in the context of attempts to resolve issues between the plaintiff and representatives of his employer. I think that their resolution falls within the exclusive jurisdiction of the arbitrator under the collective agreement.</w:t>
      </w:r>
      <w:r>
        <w:rPr>
          <w:rFonts w:ascii="arial" w:eastAsia="arial" w:hAnsi="arial" w:cs="arial"/>
          <w:sz w:val="20"/>
          <w:lang w:val="en-US" w:eastAsia="en-US" w:bidi="ar-SA"/>
        </w:rPr>
        <w:cr/>
      </w:r>
    </w:p>
    <w:p>
      <w:pPr>
        <w:numPr>
          <w:numId w:val="3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for Charter claims, the majority of the Supreme Court in Weber observed that a labour arbitrator's power to apply the law extends to the Charter. The majority held that statutory tribunals may be courts of competent jurisdiction, able to grant remedies under s. 24(1) of the Charter, provided they have jurisdiction over the parties and over the subject matter of the dispute and are empowered to make the 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Weber, the appellant complained that his employer had conducted unlawful surveillance of him and thus breached his rights under ss. 7 and 8 of the Charter. Leaving aside the question whether Ontario Hydro is subject to the Charter, McLachlin J. for the majority held that the labour arbitrator had jurisdiction over the parties and the subject matter of the dispute and was empowered to make the orders sought by the appellant, namely, damages for the surveillance and an associated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discussed previously, the plaintiff's claims in Bhaduria v. Toronto Board of Education related to statements and conduct of the Board of Education and its trustees leading up to the decision to dismiss him. He claimed that the actions and statements of the defendants violated his constitutional rights to freedom of thought, belief, opinion, and expression, to life, liberty and security of the person and to fundamental justice. The Court of Appeal agreed with the court below that these claims simply duplicated what could be claimed through arbitration, stating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Bhaduria submits that the alleged violations of his constitutional and other rights by various Board Trustees in proceedings and in committee deliberations preceding the grievance and arbitration process are not covered by the principle in Weber. We disagree. Mr. Bhaduria's claims, in their "essential character", arise under the collective agreement and relate to events that led to his termination, which in turn triggered the grievance and arbitration proceedings. We therefore agree with the motions judge that the allegations in the statement of claim raised by Mr. Bhaduria on appeal are foreclosed by Weber. These allegations fall within the exclusive jurisdiction of the grievance and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Jadwani v. Canada, a financial analyst employed with a regional office of a government ministry was alleged to have engaged in misconduct with female co-workers. He was placed on sick leave and was asked to seek a psychiatric assessment. He was later placed on "off-duty status" and then discharged. After reinstatement, his interaction with other employees was strained. He unsuccessfully grieved, complaining of discrimination, and then brought a civil action against the Crown and fifteen public servants alleging various torts and discrimination contrary to s. 15 of the Charter. The collective agreement stated that "there shall be no discrimination" in the workplace and provided a process for resolving grievances. Chief Justice McMurtry, for the Ontario Court of Appeal, did not distinguish between the tort claims and the Charter claim. He concluded that all of the claims duplicated what the plaintiff claimed or could have claimed in the grievance arbitration process. At para. 30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motions judge's conclusion that the Collective Agreement expressly deals with the substance of the allegations in the appellant's statement of claim and that the appellant resorted to the dispute resolution process available to him under the Collective Agreement. Striking the statement of claim in this case serves the policy goal of preventing the Courts from becoming a duplicative forum for matters addressed and grieved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affirmed the decision of the Motions Court Judge that the Court had no jurisdiction to entertain the plaintiff's claims as the allegations fell within the exclusive jurisdiction of the grievance and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Johnson-Paquette v. Canada, the plaintiff, who was employed by the Federal Crown, claimed that she had been assaulted and intimidated by a co-worker and that the senior managers of her department were negligent in handling her complaints. She filed a number of grievances under the Public Service Staff Relations Act which were rejected. She then commenced a civil action against the Crown alleging harassment and other wrongs. Although it is not entirely clear from the brief reasons for judgment, it seems that the plaintiff sought a remedy under s. 24(1) of the Charter, presumably based on discrimination or a denial of life, liberty, and security of the person. Following Weber, Madam Justice Tremblay-Lamer dismissed all of the plaintiff's claims for lack of jurisdiction, stating at para. 26 that "[t]his Court does not have jurisdiction to hear what is essentially an application for judicial review of a grievance officer's decision by way of an action for damages in tort". The Federal Court of Appeal affirmed that decision, stating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instance, the applicant initially chose the grievance process to settle the dispute with her employer and co-workers. Regardless of how one characterizes the cause of action which she now advances in her statement of claim, it obviously arose out of the facts which formed the basis of the four grievances which she filed under the PSSRA and which were all rejected in the course of a binding decision at the final level of the grievance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even though the applicant characterized her complaint as, in part, a Charter claim, her court action could not proceed having regard to the alternative dispute resolution process of which she had availed herself.</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application under Rule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Blanco-Arriba's dispute with the Province is in all respects in essence a labour relations dispute arising under the collective agreement. The arbitrator has jurisdiction over the parties and over the subject matter of the dispute and is empowered to make the orders sought by the plaintiff to compensate him for losses he suffered if his employer is found to have wrongfully disciplined him, to have wrongfully terminated his employment, or to have wrongfully attempted to place him on long-term disability benefits. Exclusive jurisdiction for resolving the dispute resides with the arbitrator appointed under the collective agreement. This Court lacks jurisdiction over the matters raised in the two actions.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under Rule 19(24) to strike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light of my conclusions regarding the applications under Rule 34, it is not necessary to address the defendant's applications to strike the pleadings in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applications under Rule 34 are allowed, and the point of law is determined: this Court has no jurisdiction over the matters raised by the plaintiff in the two actions. Whether the original arbitrator, who retained jurisdiction, can still proceed is not a matter that I can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two actions are dismissed for want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6" style="position:absolute;z-index:2519019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Beaver Lake Industrial Park Inc. v. Kelowna (City), [2006] B.C.J. No. 654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Beverly Corners Liquor Store Ltd. v. British Columbia (General Manager, Liquor Control and Licensing Branch), [2012] B.C.J. No. 2584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(Director of Civil Forfeiture) v. Sanghera, [2017] B.C.J. No. 1694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Buchanan v. Real Estate Board of Greater Vancouver, [2015] B.C.J. No. 2952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Burgess v. Buell Distribution Corp., [2011] B.C.J. No. 2620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 Development Corp. v. Greater Vancouver Transportation Authority, [2009] B.C.J. No. 1223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CanPacific Engineering Inc. v. Alican Enterprise Inc., [2011] B.C.J. No. 368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Carpenter Fishing Corp. v. Canada, [2002] B.C.J. No. 442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S.M.C. v. C.C.C., [2005] B.C.J. No. 2604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Delivery Drugs Ltd. (c.o.b. Gastown Pharmacy) v. British Columbia (Deputy Minister of Health), [2006] B.C.J. No. 893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Dureault v. Marshall Business Center Inc., [2009] B.C.J. No. 1681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Eshghabadi v. British Columbia (Minister of Public Safety and Solicitor General), [2011] B.C.J. No. 637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Fidler v. Burns Lake (Village), [2013] B.C.J. No. 1088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Internet Management Ltd. v. McLeod, [2003] B.C.J. No. 969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Gordic v. Vidovic, [2014] B.C.J. No. 2613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v. Slater, [2001] B.C.J. No. 2326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Greater Vancouver Water District v. North American Pipe &amp; Steel Ltd., [2011] B.C.J. No. 33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Greengen Holdings Ltd. v. British Columbia (Ministry of Forests, Lands and Natural Resource Operations), [2017] B.C.J. No. 1471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Hadland v. Thompson, [2002] B.C.J. No. 540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(Attorney General), [2016] B.C.J. No. 2385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Hermanson v. Durkee, [2014] B.C.J. No. 973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Hochsteiner v. Kilback, [2013] B.C.J. No. 1618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HSL Investments Ltd. v. 1027023 B.C. Ltd., [2018] B.C.J. No. 6911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Intrawest Corp. v. No. 2002 Taurus Ventures Ltd., [2006] B.C.J. No. 365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Jaid v. Chavez, [2013] B.C.J. No. 2784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Khairati v. Prasad, [2002] B.C.J. No. 513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v. Huang, [2018] B.C.J. No. 262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Marrello v. Okinshaw Water Co., [2017] B.C.J. No. 1821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 v. Nutriview Systems Inc., [2014] B.C.J. No. 753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Moore v. Piccioni, [2011] B.C.J. No. 944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Morriss v. Cuttler, [2010] B.C.J. No. 1808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 v. Koepke, [2013] B.C.J. No. 2159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Paskalidis v. Caprice Hospitality Inc. (c.o.b. Caprice Nightclub), [2011] B.C.J. No. 2391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v. British Columbia (Egg Marketing Board), [2003] B.C.J. No. 69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v. British Columbia, [2008] B.C.J. No. 341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 v. Pearson, [2018] B.C.J. No. 583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Rossi v. Barbieri, [2013] B.C.J. No. 979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Seidel v. Telus Communications Inc., [2016] B.C.J. No. 127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Sime v. Jupp, [2009] B.C.J. No. 1690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Coastal Health Authority v. Moscipan, [2017] B.C.J. No. 2605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Eugen v. Leger, [2010] B.C.J. No. 262</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VS Visual Statement Inc. v. Insurance Corp. of British Columbia, [2003] B.C.J. No. 1175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Wasserman v. Hall, [2009] B.C.J. No. 1932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v. Lort, [2007] B.C.J. No. 1703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Zoic Studios BC Inc. v. Gannon, [2012] B.C.J. No. 1883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625536 B.C. Ltd. v. Strata Plan LMS 4385, [2018] B.C.J. No. 3280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Barker v. 100 Mile Realty Ltd., [2000] B.C.J. No. 417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Beauchamp v. Shand, [2004] B.C.J. No. 385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Bilfinger Berger (Canada) Inc. v. Greater Vancouver Water District, [2013] B.C.J. No. 2877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Blanco-Arriba v. British Columbia, [2001] B.C.J. No. 2376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4CBA299"/>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AEC975D"/>
    <w:multiLevelType w:val="multilevel"/>
    <w:tmpl w:val="00000001"/>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D6719F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1729C73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1CDEB550"/>
    <w:multiLevelType w:val="multilevel"/>
    <w:tmpl w:val="00000001"/>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22D3BCF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532F90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2C22F9D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2C766600"/>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2EA6D96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5258500"/>
    <w:multiLevelType w:val="multilevel"/>
    <w:tmpl w:val="00000001"/>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376C000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383FC692"/>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398A84C5"/>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ACB09B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410F0BA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461D84CB"/>
    <w:multiLevelType w:val="multilevel"/>
    <w:tmpl w:val="0000000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4A3E78B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4D1F4FA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4EE587FC"/>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520BED9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53E9D30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53F8DE4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5683073E"/>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5963755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5B08B23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5CD40502"/>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08E6AD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63BFFE5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67648A5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68AFB07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69F9D033"/>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DAEF95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DBF4AEB"/>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71DD35AF"/>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42803FD"/>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59B4A3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61D6D5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789E38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8EC8FB1"/>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A732167"/>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BBF566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61"/>
  </w:num>
  <w:num w:numId="115">
    <w:abstractNumId w:val="129"/>
  </w:num>
  <w:num w:numId="116">
    <w:abstractNumId w:val="153"/>
  </w:num>
  <w:num w:numId="117">
    <w:abstractNumId w:val="149"/>
  </w:num>
  <w:num w:numId="118">
    <w:abstractNumId w:val="146"/>
  </w:num>
  <w:num w:numId="119">
    <w:abstractNumId w:val="152"/>
  </w:num>
  <w:num w:numId="120">
    <w:abstractNumId w:val="158"/>
  </w:num>
  <w:num w:numId="121">
    <w:abstractNumId w:val="136"/>
  </w:num>
  <w:num w:numId="122">
    <w:abstractNumId w:val="151"/>
  </w:num>
  <w:num w:numId="123">
    <w:abstractNumId w:val="144"/>
  </w:num>
  <w:num w:numId="124">
    <w:abstractNumId w:val="125"/>
  </w:num>
  <w:num w:numId="125">
    <w:abstractNumId w:val="131"/>
  </w:num>
  <w:num w:numId="126">
    <w:abstractNumId w:val="123"/>
  </w:num>
  <w:num w:numId="127">
    <w:abstractNumId w:val="150"/>
  </w:num>
  <w:num w:numId="128">
    <w:abstractNumId w:val="162"/>
  </w:num>
  <w:num w:numId="129">
    <w:abstractNumId w:val="156"/>
  </w:num>
  <w:num w:numId="130">
    <w:abstractNumId w:val="126"/>
  </w:num>
  <w:num w:numId="131">
    <w:abstractNumId w:val="137"/>
  </w:num>
  <w:num w:numId="132">
    <w:abstractNumId w:val="135"/>
  </w:num>
  <w:num w:numId="133">
    <w:abstractNumId w:val="130"/>
  </w:num>
  <w:num w:numId="134">
    <w:abstractNumId w:val="154"/>
  </w:num>
  <w:num w:numId="135">
    <w:abstractNumId w:val="159"/>
  </w:num>
  <w:num w:numId="136">
    <w:abstractNumId w:val="124"/>
  </w:num>
  <w:num w:numId="137">
    <w:abstractNumId w:val="145"/>
  </w:num>
  <w:num w:numId="138">
    <w:abstractNumId w:val="132"/>
  </w:num>
  <w:num w:numId="139">
    <w:abstractNumId w:val="139"/>
  </w:num>
  <w:num w:numId="140">
    <w:abstractNumId w:val="155"/>
  </w:num>
  <w:num w:numId="141">
    <w:abstractNumId w:val="148"/>
  </w:num>
  <w:num w:numId="142">
    <w:abstractNumId w:val="157"/>
  </w:num>
  <w:num w:numId="143">
    <w:abstractNumId w:val="141"/>
  </w:num>
  <w:num w:numId="144">
    <w:abstractNumId w:val="140"/>
  </w:num>
  <w:num w:numId="145">
    <w:abstractNumId w:val="133"/>
  </w:num>
  <w:num w:numId="146">
    <w:abstractNumId w:val="113"/>
  </w:num>
  <w:num w:numId="147">
    <w:abstractNumId w:val="114"/>
  </w:num>
  <w:num w:numId="148">
    <w:abstractNumId w:val="115"/>
  </w:num>
  <w:num w:numId="149">
    <w:abstractNumId w:val="116"/>
  </w:num>
  <w:num w:numId="150">
    <w:abstractNumId w:val="117"/>
  </w:num>
  <w:num w:numId="151">
    <w:abstractNumId w:val="118"/>
  </w:num>
  <w:num w:numId="152">
    <w:abstractNumId w:val="119"/>
  </w:num>
  <w:num w:numId="153">
    <w:abstractNumId w:val="120"/>
  </w:num>
  <w:num w:numId="154">
    <w:abstractNumId w:val="121"/>
  </w:num>
  <w:num w:numId="155">
    <w:abstractNumId w:val="147"/>
  </w:num>
  <w:num w:numId="156">
    <w:abstractNumId w:val="163"/>
  </w:num>
  <w:num w:numId="157">
    <w:abstractNumId w:val="160"/>
  </w:num>
  <w:num w:numId="158">
    <w:abstractNumId w:val="122"/>
  </w:num>
  <w:num w:numId="159">
    <w:abstractNumId w:val="127"/>
  </w:num>
  <w:num w:numId="160">
    <w:abstractNumId w:val="143"/>
  </w:num>
  <w:num w:numId="161">
    <w:abstractNumId w:val="138"/>
  </w:num>
  <w:num w:numId="162">
    <w:abstractNumId w:val="134"/>
  </w:num>
  <w:num w:numId="163">
    <w:abstractNumId w:val="142"/>
  </w:num>
  <w:num w:numId="164">
    <w:abstractNumId w:val="1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F1-DXWW-240R-00000-00&amp;context=" TargetMode="External" /><Relationship Id="rId100" Type="http://schemas.openxmlformats.org/officeDocument/2006/relationships/hyperlink" Target="https://advance.lexis.com/api/document?collection=cases-ca&amp;id=urn:contentItem:5F8T-N3V1-JTGH-B1DG-00000-00&amp;context=" TargetMode="External" /><Relationship Id="rId1000" Type="http://schemas.openxmlformats.org/officeDocument/2006/relationships/footer" Target="footer117.xml" /><Relationship Id="rId1001" Type="http://schemas.openxmlformats.org/officeDocument/2006/relationships/hyperlink" Target="https://advance.lexis.com/api/document?collection=cases-ca&amp;id=urn:contentItem:5F7T-S7F1-JBT7-X2R8-00000-00&amp;context=" TargetMode="External" /><Relationship Id="rId1002" Type="http://schemas.openxmlformats.org/officeDocument/2006/relationships/hyperlink" Target="https://advance.lexis.com/api/document?collection=cases-ca&amp;id=urn:contentItem:5F7T-S771-JWBS-61TV-00000-00&amp;context=" TargetMode="External" /><Relationship Id="rId1003" Type="http://schemas.openxmlformats.org/officeDocument/2006/relationships/hyperlink" Target="https://advance.lexis.com/api/document?collection=cases-ca&amp;id=urn:contentItem:5F7T-S751-JBM1-M2GG-00000-00&amp;context=" TargetMode="External" /><Relationship Id="rId1004" Type="http://schemas.openxmlformats.org/officeDocument/2006/relationships/hyperlink" Target="https://advance.lexis.com/api/document?collection=cases-ca&amp;id=urn:contentItem:5F7T-S741-F7VM-S2XY-00000-00&amp;context=" TargetMode="External" /><Relationship Id="rId1005" Type="http://schemas.openxmlformats.org/officeDocument/2006/relationships/hyperlink" Target="https://advance.lexis.com/api/document?collection=cases-ca&amp;id=urn:contentItem:5F7T-S771-F2TK-22NX-00000-00&amp;context=" TargetMode="External" /><Relationship Id="rId1006" Type="http://schemas.openxmlformats.org/officeDocument/2006/relationships/hyperlink" Target="https://advance.lexis.com/api/document?collection=cases-ca&amp;id=urn:contentItem:5F7T-S771-JW5H-X20C-00000-00&amp;context=" TargetMode="External" /><Relationship Id="rId1007" Type="http://schemas.openxmlformats.org/officeDocument/2006/relationships/hyperlink" Target="https://advance.lexis.com/api/document?collection=cases-ca&amp;id=urn:contentItem:5F7T-S751-JBM1-M244-00000-00&amp;context=" TargetMode="External" /><Relationship Id="rId1008" Type="http://schemas.openxmlformats.org/officeDocument/2006/relationships/header" Target="header118.xml" /><Relationship Id="rId1009" Type="http://schemas.openxmlformats.org/officeDocument/2006/relationships/header" Target="header119.xml" /><Relationship Id="rId101" Type="http://schemas.openxmlformats.org/officeDocument/2006/relationships/hyperlink" Target="https://advance.lexis.com/api/document?collection=cases-ca&amp;id=urn:contentItem:5G0F-55K1-DXHD-G46H-00000-00&amp;context=" TargetMode="External" /><Relationship Id="rId1010" Type="http://schemas.openxmlformats.org/officeDocument/2006/relationships/footer" Target="footer118.xml" /><Relationship Id="rId1011" Type="http://schemas.openxmlformats.org/officeDocument/2006/relationships/footer" Target="footer119.xml" /><Relationship Id="rId1012" Type="http://schemas.openxmlformats.org/officeDocument/2006/relationships/header" Target="header120.xml" /><Relationship Id="rId1013" Type="http://schemas.openxmlformats.org/officeDocument/2006/relationships/footer" Target="footer120.xml" /><Relationship Id="rId1014" Type="http://schemas.openxmlformats.org/officeDocument/2006/relationships/hyperlink" Target="https://advance.lexis.com/api/document?collection=cases-ca&amp;id=urn:contentItem:5R90-XKK1-JGBH-B4WH-00000-00&amp;context=" TargetMode="External" /><Relationship Id="rId1015" Type="http://schemas.openxmlformats.org/officeDocument/2006/relationships/hyperlink" Target="https://advance.lexis.com/api/document?collection=legislation-ca&amp;id=urn:contentItem:5F41-1FM1-FCK4-G0C5-00000-00&amp;context=" TargetMode="External" /><Relationship Id="rId1016" Type="http://schemas.openxmlformats.org/officeDocument/2006/relationships/hyperlink" Target="https://advance.lexis.com/api/document?collection=legislation-ca&amp;id=urn:contentItem:5F41-1FN1-JJK6-S01K-00000-00&amp;context=" TargetMode="External" /><Relationship Id="rId1017" Type="http://schemas.openxmlformats.org/officeDocument/2006/relationships/hyperlink" Target="https://advance.lexis.com/api/document?collection=cases-ca&amp;id=urn:contentItem:5F8T-N3V1-JF75-M3SJ-00000-00&amp;context=" TargetMode="External" /><Relationship Id="rId1018" Type="http://schemas.openxmlformats.org/officeDocument/2006/relationships/hyperlink" Target="https://advance.lexis.com/api/document?collection=cases-ca&amp;id=urn:contentItem:5F8T-N3V1-FH4C-X253-00000-00&amp;context=" TargetMode="External" /><Relationship Id="rId1019" Type="http://schemas.openxmlformats.org/officeDocument/2006/relationships/hyperlink" Target="https://advance.lexis.com/api/document?collection=cases-ca&amp;id=urn:contentItem:5F7T-S6X1-F06F-22K3-00000-00&amp;context=" TargetMode="External" /><Relationship Id="rId102" Type="http://schemas.openxmlformats.org/officeDocument/2006/relationships/hyperlink" Target="https://advance.lexis.com/api/document?collection=cases-ca&amp;id=urn:contentItem:5GCD-KK01-JNJT-B181-00000-00&amp;context=" TargetMode="External" /><Relationship Id="rId1020" Type="http://schemas.openxmlformats.org/officeDocument/2006/relationships/hyperlink" Target="https://advance.lexis.com/api/document?collection=cases-ca&amp;id=urn:contentItem:5F8T-N3V1-FC1F-M3W8-00000-00&amp;context=" TargetMode="External" /><Relationship Id="rId1021" Type="http://schemas.openxmlformats.org/officeDocument/2006/relationships/image" Target="media/image13.png" /><Relationship Id="rId1022" Type="http://schemas.openxmlformats.org/officeDocument/2006/relationships/hyperlink" Target="https://advance.lexis.com/api/document?collection=cases-ca&amp;id=urn:contentItem:5F7V-3DK1-JW5H-X2YD-00000-00&amp;context=" TargetMode="External" /><Relationship Id="rId1023" Type="http://schemas.openxmlformats.org/officeDocument/2006/relationships/hyperlink" Target="https://advance.lexis.com/api/document?collection=cases-ca&amp;id=urn:contentItem:5F8P-SDD1-JK4W-M47Y-00000-00&amp;context=" TargetMode="External" /><Relationship Id="rId1024" Type="http://schemas.openxmlformats.org/officeDocument/2006/relationships/hyperlink" Target="https://advance.lexis.com/api/document?collection=cases-ca&amp;id=urn:contentItem:5F8T-N3V1-JTGH-B1CN-00000-00&amp;context=" TargetMode="External" /><Relationship Id="rId1025" Type="http://schemas.openxmlformats.org/officeDocument/2006/relationships/hyperlink" Target="https://advance.lexis.com/api/document?collection=cases-ca&amp;id=urn:contentItem:5MTP-GH21-JX8W-M4T5-00000-00&amp;context=" TargetMode="External" /><Relationship Id="rId1026" Type="http://schemas.openxmlformats.org/officeDocument/2006/relationships/hyperlink" Target="https://advance.lexis.com/api/document?collection=cases-ca&amp;id=urn:contentItem:5F7T-S7J1-JGBH-B2F5-00000-00&amp;context=" TargetMode="External" /><Relationship Id="rId1027" Type="http://schemas.openxmlformats.org/officeDocument/2006/relationships/hyperlink" Target="https://advance.lexis.com/api/document?collection=cases-ca&amp;id=urn:contentItem:5F7T-S7M1-F4W2-622S-00000-00&amp;context=" TargetMode="External" /><Relationship Id="rId1028" Type="http://schemas.openxmlformats.org/officeDocument/2006/relationships/hyperlink" Target="https://advance.lexis.com/api/document?collection=cases-ca&amp;id=urn:contentItem:5F82-1SJ1-K0BB-S2YY-00000-00&amp;context=" TargetMode="External" /><Relationship Id="rId1029" Type="http://schemas.openxmlformats.org/officeDocument/2006/relationships/hyperlink" Target="https://advance.lexis.com/api/document?collection=cases-ca&amp;id=urn:contentItem:5F7T-S7M1-JJK6-S1WX-00000-00&amp;context=" TargetMode="External" /><Relationship Id="rId103" Type="http://schemas.openxmlformats.org/officeDocument/2006/relationships/hyperlink" Target="https://advance.lexis.com/api/document?collection=cases-ca&amp;id=urn:contentItem:5F8T-N3V1-JFKM-601D-00000-00&amp;context=" TargetMode="External" /><Relationship Id="rId1030" Type="http://schemas.openxmlformats.org/officeDocument/2006/relationships/hyperlink" Target="https://advance.lexis.com/api/document?collection=cases-ca&amp;id=urn:contentItem:5F7T-S7P1-JBDT-B15C-00000-00&amp;context=" TargetMode="External" /><Relationship Id="rId1031" Type="http://schemas.openxmlformats.org/officeDocument/2006/relationships/hyperlink" Target="https://advance.lexis.com/api/document?collection=cases-ca&amp;id=urn:contentItem:5F7T-S7C1-F4NT-X3N6-00000-00&amp;context=" TargetMode="External" /><Relationship Id="rId1032" Type="http://schemas.openxmlformats.org/officeDocument/2006/relationships/hyperlink" Target="https://advance.lexis.com/api/document?collection=cases-ca&amp;id=urn:contentItem:5F7T-S6X1-F7ND-G3P7-00000-00&amp;context=" TargetMode="External" /><Relationship Id="rId1033" Type="http://schemas.openxmlformats.org/officeDocument/2006/relationships/hyperlink" Target="https://advance.lexis.com/api/document?collection=cases-ca&amp;id=urn:contentItem:5JCF-TK21-JCBX-S2RV-00000-00&amp;context=" TargetMode="External" /><Relationship Id="rId1034" Type="http://schemas.openxmlformats.org/officeDocument/2006/relationships/hyperlink" Target="https://advance.lexis.com/api/document?collection=cases-ca&amp;id=urn:contentItem:5G5K-99F1-JBT7-X4SF-00000-00&amp;context=" TargetMode="External" /><Relationship Id="rId1035" Type="http://schemas.openxmlformats.org/officeDocument/2006/relationships/hyperlink" Target="https://advance.lexis.com/api/document?collection=cases-ca&amp;id=urn:contentItem:5F7T-S7C1-F4NT-X3JF-00000-00&amp;context=" TargetMode="External" /><Relationship Id="rId1036" Type="http://schemas.openxmlformats.org/officeDocument/2006/relationships/header" Target="header121.xml" /><Relationship Id="rId1037" Type="http://schemas.openxmlformats.org/officeDocument/2006/relationships/header" Target="header122.xml" /><Relationship Id="rId1038" Type="http://schemas.openxmlformats.org/officeDocument/2006/relationships/footer" Target="footer121.xml" /><Relationship Id="rId1039" Type="http://schemas.openxmlformats.org/officeDocument/2006/relationships/footer" Target="footer122.xml" /><Relationship Id="rId104" Type="http://schemas.openxmlformats.org/officeDocument/2006/relationships/hyperlink" Target="https://advance.lexis.com/api/document?collection=cases-ca&amp;id=urn:contentItem:5F7T-XPW1-JNY7-X1T3-00000-00&amp;context=" TargetMode="External" /><Relationship Id="rId1040" Type="http://schemas.openxmlformats.org/officeDocument/2006/relationships/header" Target="header123.xml" /><Relationship Id="rId1041" Type="http://schemas.openxmlformats.org/officeDocument/2006/relationships/footer" Target="footer123.xml" /><Relationship Id="rId1042" Type="http://schemas.openxmlformats.org/officeDocument/2006/relationships/hyperlink" Target="https://advance.lexis.com/api/document?collection=cases-ca&amp;id=urn:contentItem:5F7T-S7K1-JSJC-X0WH-00000-00&amp;context=" TargetMode="External" /><Relationship Id="rId1043" Type="http://schemas.openxmlformats.org/officeDocument/2006/relationships/hyperlink" Target="https://advance.lexis.com/api/document?collection=cases-ca&amp;id=urn:contentItem:5F7T-S731-FG12-62D5-00000-00&amp;context=" TargetMode="External" /><Relationship Id="rId1044" Type="http://schemas.openxmlformats.org/officeDocument/2006/relationships/hyperlink" Target="https://advance.lexis.com/api/document?collection=cases-ca&amp;id=urn:contentItem:5F7T-S751-JX3N-B12X-00000-00&amp;context=" TargetMode="External" /><Relationship Id="rId1045" Type="http://schemas.openxmlformats.org/officeDocument/2006/relationships/hyperlink" Target="https://advance.lexis.com/api/document?collection=cases-ca&amp;id=urn:contentItem:5F7T-S7F1-DXWW-23NK-00000-00&amp;context=" TargetMode="External" /><Relationship Id="rId1046" Type="http://schemas.openxmlformats.org/officeDocument/2006/relationships/hyperlink" Target="https://advance.lexis.com/api/document?collection=cases-ca&amp;id=urn:contentItem:5F7T-S7B1-JCJ5-2072-00000-00&amp;context=" TargetMode="External" /><Relationship Id="rId1047" Type="http://schemas.openxmlformats.org/officeDocument/2006/relationships/hyperlink" Target="https://advance.lexis.com/api/document?collection=cases-ca&amp;id=urn:contentItem:5F7T-S7C1-JS0R-229B-00000-00&amp;context=" TargetMode="External" /><Relationship Id="rId1048" Type="http://schemas.openxmlformats.org/officeDocument/2006/relationships/header" Target="header124.xml" /><Relationship Id="rId1049" Type="http://schemas.openxmlformats.org/officeDocument/2006/relationships/header" Target="header125.xml" /><Relationship Id="rId105" Type="http://schemas.openxmlformats.org/officeDocument/2006/relationships/hyperlink" Target="https://advance.lexis.com/api/document?collection=cases-ca&amp;id=urn:contentItem:5F8W-M491-JBDT-B427-00000-00&amp;context=" TargetMode="External" /><Relationship Id="rId1050" Type="http://schemas.openxmlformats.org/officeDocument/2006/relationships/footer" Target="footer124.xml" /><Relationship Id="rId1051" Type="http://schemas.openxmlformats.org/officeDocument/2006/relationships/footer" Target="footer125.xml" /><Relationship Id="rId1052" Type="http://schemas.openxmlformats.org/officeDocument/2006/relationships/header" Target="header126.xml" /><Relationship Id="rId1053" Type="http://schemas.openxmlformats.org/officeDocument/2006/relationships/footer" Target="footer126.xml" /><Relationship Id="rId1054" Type="http://schemas.openxmlformats.org/officeDocument/2006/relationships/hyperlink" Target="https://advance.lexis.com/api/document?collection=cases-ca&amp;id=urn:contentItem:5F7T-S7C1-F4NT-X3CM-00000-00&amp;context=" TargetMode="External" /><Relationship Id="rId1055" Type="http://schemas.openxmlformats.org/officeDocument/2006/relationships/hyperlink" Target="https://advance.lexis.com/api/document?collection=cases-ca&amp;id=urn:contentItem:5F7T-S711-JNY7-X3GB-00000-00&amp;context=" TargetMode="External" /><Relationship Id="rId1056" Type="http://schemas.openxmlformats.org/officeDocument/2006/relationships/hyperlink" Target="https://advance.lexis.com/api/document?collection=cases-ca&amp;id=urn:contentItem:5F8P-SCS1-JPGX-S4R3-00000-00&amp;context=" TargetMode="External" /><Relationship Id="rId1057" Type="http://schemas.openxmlformats.org/officeDocument/2006/relationships/hyperlink" Target="https://advance.lexis.com/api/document?collection=cases-ca&amp;id=urn:contentItem:5F81-VJX1-JKPJ-G1TP-00000-00&amp;context=" TargetMode="External" /><Relationship Id="rId1058" Type="http://schemas.openxmlformats.org/officeDocument/2006/relationships/hyperlink" Target="https://advance.lexis.com/api/document?collection=cases-ca&amp;id=urn:contentItem:5F8T-N3V1-JFKM-6070-00000-00&amp;context=" TargetMode="External" /><Relationship Id="rId1059" Type="http://schemas.openxmlformats.org/officeDocument/2006/relationships/header" Target="header127.xml" /><Relationship Id="rId106" Type="http://schemas.openxmlformats.org/officeDocument/2006/relationships/hyperlink" Target="https://advance.lexis.com/api/document?collection=cases-ca&amp;id=urn:contentItem:5F8W-M4C1-JGBH-B0YT-00000-00&amp;context=" TargetMode="External" /><Relationship Id="rId1060" Type="http://schemas.openxmlformats.org/officeDocument/2006/relationships/header" Target="header128.xml" /><Relationship Id="rId1061" Type="http://schemas.openxmlformats.org/officeDocument/2006/relationships/footer" Target="footer127.xml" /><Relationship Id="rId1062" Type="http://schemas.openxmlformats.org/officeDocument/2006/relationships/footer" Target="footer128.xml" /><Relationship Id="rId1063" Type="http://schemas.openxmlformats.org/officeDocument/2006/relationships/header" Target="header129.xml" /><Relationship Id="rId1064" Type="http://schemas.openxmlformats.org/officeDocument/2006/relationships/footer" Target="footer129.xml" /><Relationship Id="rId1065" Type="http://schemas.openxmlformats.org/officeDocument/2006/relationships/hyperlink" Target="https://advance.lexis.com/api/document?collection=cases-ca&amp;id=urn:contentItem:5F7T-S7J1-JYYX-62K2-00000-00&amp;context=" TargetMode="External" /><Relationship Id="rId1066" Type="http://schemas.openxmlformats.org/officeDocument/2006/relationships/hyperlink" Target="https://advance.lexis.com/api/document?collection=legislation-ca&amp;id=urn:contentItem:5F41-1FJ1-F5KY-B1KS-00000-00&amp;context=" TargetMode="External" /><Relationship Id="rId1067" Type="http://schemas.openxmlformats.org/officeDocument/2006/relationships/hyperlink" Target="https://advance.lexis.com/api/document?collection=cases-ca&amp;id=urn:contentItem:5F7V-3DK1-JBDT-B19B-00000-00&amp;context=" TargetMode="External" /><Relationship Id="rId1068" Type="http://schemas.openxmlformats.org/officeDocument/2006/relationships/hyperlink" Target="https://advance.lexis.com/api/document?collection=cases-ca&amp;id=urn:contentItem:5F7T-S7D1-JG02-S2PX-00000-00&amp;context=" TargetMode="External" /><Relationship Id="rId1069" Type="http://schemas.openxmlformats.org/officeDocument/2006/relationships/hyperlink" Target="https://advance.lexis.com/api/document?collection=cases-ca&amp;id=urn:contentItem:5F7T-S7F1-DXWW-24G8-00000-00&amp;context=" TargetMode="External" /><Relationship Id="rId107" Type="http://schemas.openxmlformats.org/officeDocument/2006/relationships/hyperlink" Target="https://advance.lexis.com/api/document?collection=cases-ca&amp;id=urn:contentItem:5F7T-S7G1-JPP5-222K-00000-00&amp;context=" TargetMode="External" /><Relationship Id="rId1070" Type="http://schemas.openxmlformats.org/officeDocument/2006/relationships/hyperlink" Target="https://advance.lexis.com/api/document?collection=cases-ca&amp;id=urn:contentItem:5F7T-S761-FFMK-M0TR-00000-00&amp;context=" TargetMode="External" /><Relationship Id="rId1071" Type="http://schemas.openxmlformats.org/officeDocument/2006/relationships/hyperlink" Target="https://advance.lexis.com/api/document?collection=cases-ca&amp;id=urn:contentItem:5F7T-S791-FJTD-G308-00000-00&amp;context=" TargetMode="External" /><Relationship Id="rId1072" Type="http://schemas.openxmlformats.org/officeDocument/2006/relationships/hyperlink" Target="https://advance.lexis.com/api/document?collection=cases-ca&amp;id=urn:contentItem:5F7T-S7J1-FGCG-S052-00000-00&amp;context=" TargetMode="External" /><Relationship Id="rId1073" Type="http://schemas.openxmlformats.org/officeDocument/2006/relationships/hyperlink" Target="https://advance.lexis.com/api/document?collection=cases-ca&amp;id=urn:contentItem:5F7T-S7H1-FCSB-S3JP-00000-00&amp;context=" TargetMode="External" /><Relationship Id="rId1074" Type="http://schemas.openxmlformats.org/officeDocument/2006/relationships/header" Target="header130.xml" /><Relationship Id="rId1075" Type="http://schemas.openxmlformats.org/officeDocument/2006/relationships/header" Target="header131.xml" /><Relationship Id="rId1076" Type="http://schemas.openxmlformats.org/officeDocument/2006/relationships/footer" Target="footer130.xml" /><Relationship Id="rId1077" Type="http://schemas.openxmlformats.org/officeDocument/2006/relationships/footer" Target="footer131.xml" /><Relationship Id="rId1078" Type="http://schemas.openxmlformats.org/officeDocument/2006/relationships/header" Target="header132.xml" /><Relationship Id="rId1079" Type="http://schemas.openxmlformats.org/officeDocument/2006/relationships/footer" Target="footer132.xml" /><Relationship Id="rId108" Type="http://schemas.openxmlformats.org/officeDocument/2006/relationships/hyperlink" Target="https://advance.lexis.com/api/document?collection=cases-ca&amp;id=urn:contentItem:5F7T-S7M1-JCRC-B1S1-00000-00&amp;context=" TargetMode="External" /><Relationship Id="rId1080" Type="http://schemas.openxmlformats.org/officeDocument/2006/relationships/hyperlink" Target="https://advance.lexis.com/api/document?collection=cases-ca&amp;id=urn:contentItem:5F7T-S7G1-JNY7-X3T9-00000-00&amp;context=" TargetMode="External" /><Relationship Id="rId1081" Type="http://schemas.openxmlformats.org/officeDocument/2006/relationships/hyperlink" Target="https://advance.lexis.com/api/document?collection=cases-ca&amp;id=urn:contentItem:5F7T-S7C1-JS0R-227J-00000-00&amp;context=" TargetMode="External" /><Relationship Id="rId1082" Type="http://schemas.openxmlformats.org/officeDocument/2006/relationships/hyperlink" Target="https://advance.lexis.com/api/document?collection=cases-ca&amp;id=urn:contentItem:5F7T-S7C1-F30T-B2C2-00000-00&amp;context=" TargetMode="External" /><Relationship Id="rId1083" Type="http://schemas.openxmlformats.org/officeDocument/2006/relationships/hyperlink" Target="https://advance.lexis.com/api/document?collection=cases-ca&amp;id=urn:contentItem:5F82-1SF1-JB7K-239H-00000-00&amp;context=" TargetMode="External" /><Relationship Id="rId1084" Type="http://schemas.openxmlformats.org/officeDocument/2006/relationships/hyperlink" Target="https://advance.lexis.com/api/document?collection=cases-ca&amp;id=urn:contentItem:5F7T-S7F1-JFKM-61XJ-00000-00&amp;context=" TargetMode="External" /><Relationship Id="rId1085" Type="http://schemas.openxmlformats.org/officeDocument/2006/relationships/hyperlink" Target="https://advance.lexis.com/api/document?collection=cases-ca&amp;id=urn:contentItem:5F7T-S7F1-JFKM-61VX-00000-00&amp;context=" TargetMode="External" /><Relationship Id="rId1086" Type="http://schemas.openxmlformats.org/officeDocument/2006/relationships/hyperlink" Target="https://advance.lexis.com/api/document?collection=cases-ca&amp;id=urn:contentItem:5F7T-S7C1-JXG3-X0B8-00000-00&amp;context=" TargetMode="External" /><Relationship Id="rId1087" Type="http://schemas.openxmlformats.org/officeDocument/2006/relationships/hyperlink" Target="https://advance.lexis.com/api/document?collection=cases-ca&amp;id=urn:contentItem:5F7T-S7D1-JG02-S2M0-00000-00&amp;context=" TargetMode="External" /><Relationship Id="rId1088" Type="http://schemas.openxmlformats.org/officeDocument/2006/relationships/hyperlink" Target="https://advance.lexis.com/api/document?collection=cases-ca&amp;id=urn:contentItem:5F7T-S7H1-JFKM-6264-00000-00&amp;context=" TargetMode="External" /><Relationship Id="rId1089" Type="http://schemas.openxmlformats.org/officeDocument/2006/relationships/hyperlink" Target="https://advance.lexis.com/api/document?collection=cases-ca&amp;id=urn:contentItem:5F7T-S7D1-DY89-M480-00000-00&amp;context=" TargetMode="External" /><Relationship Id="rId109" Type="http://schemas.openxmlformats.org/officeDocument/2006/relationships/hyperlink" Target="https://advance.lexis.com/api/document?collection=cases-ca&amp;id=urn:contentItem:5F7T-XPX1-FCCX-61VY-00000-00&amp;context=" TargetMode="External" /><Relationship Id="rId1090" Type="http://schemas.openxmlformats.org/officeDocument/2006/relationships/hyperlink" Target="https://advance.lexis.com/api/document?collection=cases-ca&amp;id=urn:contentItem:5F8N-K6Y1-F2MB-S0GF-00000-00&amp;context=" TargetMode="External" /><Relationship Id="rId1091" Type="http://schemas.openxmlformats.org/officeDocument/2006/relationships/hyperlink" Target="https://advance.lexis.com/api/document?collection=cases-ca&amp;id=urn:contentItem:5F8N-K6Y1-F8KH-X238-00000-00&amp;context=" TargetMode="External" /><Relationship Id="rId1092" Type="http://schemas.openxmlformats.org/officeDocument/2006/relationships/hyperlink" Target="https://advance.lexis.com/api/document?collection=cases-ca&amp;id=urn:contentItem:5F7T-S6V1-JFKM-6134-00000-00&amp;context=" TargetMode="External" /><Relationship Id="rId1093" Type="http://schemas.openxmlformats.org/officeDocument/2006/relationships/hyperlink" Target="https://advance.lexis.com/api/document?collection=cases-ca&amp;id=urn:contentItem:5F7T-S6X1-F06F-22TD-00000-00&amp;context=" TargetMode="External" /><Relationship Id="rId1094" Type="http://schemas.openxmlformats.org/officeDocument/2006/relationships/hyperlink" Target="https://advance.lexis.com/api/document?collection=cases-ca&amp;id=urn:contentItem:5F81-VJX1-JKPJ-G20B-00000-00&amp;context=" TargetMode="External" /><Relationship Id="rId1095" Type="http://schemas.openxmlformats.org/officeDocument/2006/relationships/hyperlink" Target="https://advance.lexis.com/api/document?collection=cases-ca&amp;id=urn:contentItem:5F8P-SD61-JJD0-G22P-00000-00&amp;context=" TargetMode="External" /><Relationship Id="rId1096" Type="http://schemas.openxmlformats.org/officeDocument/2006/relationships/hyperlink" Target="https://advance.lexis.com/api/document?collection=cases-ca&amp;id=urn:contentItem:5F8P-SD51-F8KH-X49H-00000-00&amp;context=" TargetMode="External" /><Relationship Id="rId1097" Type="http://schemas.openxmlformats.org/officeDocument/2006/relationships/hyperlink" Target="https://advance.lexis.com/api/document?collection=cases-ca&amp;id=urn:contentItem:5F7T-S721-F5T5-M236-00000-00&amp;context=" TargetMode="External" /><Relationship Id="rId1098" Type="http://schemas.openxmlformats.org/officeDocument/2006/relationships/header" Target="header133.xml" /><Relationship Id="rId1099" Type="http://schemas.openxmlformats.org/officeDocument/2006/relationships/header" Target="header134.xml" /><Relationship Id="rId11" Type="http://schemas.openxmlformats.org/officeDocument/2006/relationships/hyperlink" Target="https://advance.lexis.com/api/document?collection=cases-ca&amp;id=urn:contentItem:5F8T-N3V1-JTGH-B12T-00000-00&amp;context=" TargetMode="External" /><Relationship Id="rId110" Type="http://schemas.openxmlformats.org/officeDocument/2006/relationships/hyperlink" Target="https://advance.lexis.com/api/document?collection=cases-ca&amp;id=urn:contentItem:5F82-1SH1-F57G-S331-00000-00&amp;context=" TargetMode="External" /><Relationship Id="rId1100" Type="http://schemas.openxmlformats.org/officeDocument/2006/relationships/footer" Target="footer133.xml" /><Relationship Id="rId1101" Type="http://schemas.openxmlformats.org/officeDocument/2006/relationships/footer" Target="footer134.xml" /><Relationship Id="rId1102" Type="http://schemas.openxmlformats.org/officeDocument/2006/relationships/header" Target="header135.xml" /><Relationship Id="rId1103" Type="http://schemas.openxmlformats.org/officeDocument/2006/relationships/footer" Target="footer135.xml" /><Relationship Id="rId1104" Type="http://schemas.openxmlformats.org/officeDocument/2006/relationships/hyperlink" Target="https://advance.lexis.com/api/document?collection=cases-ca&amp;id=urn:contentItem:5F7T-S7N1-F57G-S2NC-00000-00&amp;context=" TargetMode="External" /><Relationship Id="rId1105" Type="http://schemas.openxmlformats.org/officeDocument/2006/relationships/hyperlink" Target="https://advance.lexis.com/api/document?collection=cases-ca&amp;id=urn:contentItem:5F8T-N3T1-JJSF-23F8-00000-00&amp;context=" TargetMode="External" /><Relationship Id="rId1106" Type="http://schemas.openxmlformats.org/officeDocument/2006/relationships/hyperlink" Target="https://advance.lexis.com/api/document?collection=cases-ca&amp;id=urn:contentItem:5F7T-S7F1-JX3N-B1B6-00000-00&amp;context=" TargetMode="External" /><Relationship Id="rId1107" Type="http://schemas.openxmlformats.org/officeDocument/2006/relationships/hyperlink" Target="https://advance.lexis.com/api/document?collection=cases-ca&amp;id=urn:contentItem:5F8T-N3V1-JTGH-B1GF-00000-00&amp;context=" TargetMode="External" /><Relationship Id="rId1108" Type="http://schemas.openxmlformats.org/officeDocument/2006/relationships/hyperlink" Target="https://advance.lexis.com/api/document?collection=cases-ca&amp;id=urn:contentItem:5F16-93F1-JCJ5-22VG-00000-00&amp;context=" TargetMode="External" /><Relationship Id="rId1109" Type="http://schemas.openxmlformats.org/officeDocument/2006/relationships/hyperlink" Target="https://advance.lexis.com/api/document?collection=cases-ca&amp;id=urn:contentItem:5F7V-3DK1-JW5H-X332-00000-00&amp;context=" TargetMode="External" /><Relationship Id="rId111" Type="http://schemas.openxmlformats.org/officeDocument/2006/relationships/header" Target="header10.xml" /><Relationship Id="rId1110" Type="http://schemas.openxmlformats.org/officeDocument/2006/relationships/hyperlink" Target="https://advance.lexis.com/api/document?collection=cases-ca&amp;id=urn:contentItem:5F7V-3DK1-JP9P-G3B6-00000-00&amp;context=" TargetMode="External" /><Relationship Id="rId1111" Type="http://schemas.openxmlformats.org/officeDocument/2006/relationships/hyperlink" Target="https://advance.lexis.com/api/document?collection=cases-ca&amp;id=urn:contentItem:5F7T-S7C1-JSRM-60S1-00000-00&amp;context=" TargetMode="External" /><Relationship Id="rId1112" Type="http://schemas.openxmlformats.org/officeDocument/2006/relationships/hyperlink" Target="https://advance.lexis.com/api/document?collection=cases-ca&amp;id=urn:contentItem:5F8P-SD71-FG68-G52B-00000-00&amp;context=" TargetMode="External" /><Relationship Id="rId1113" Type="http://schemas.openxmlformats.org/officeDocument/2006/relationships/hyperlink" Target="https://advance.lexis.com/api/document?collection=cases-ca&amp;id=urn:contentItem:5F16-9341-JK4W-M3F3-00000-00&amp;context=" TargetMode="External" /><Relationship Id="rId1114" Type="http://schemas.openxmlformats.org/officeDocument/2006/relationships/hyperlink" Target="https://advance.lexis.com/api/document?collection=cases-ca&amp;id=urn:contentItem:5F7T-S7K1-JKHB-62RF-00000-00&amp;context=" TargetMode="External" /><Relationship Id="rId1115" Type="http://schemas.openxmlformats.org/officeDocument/2006/relationships/hyperlink" Target="https://advance.lexis.com/api/document?collection=cases-ca&amp;id=urn:contentItem:5F7T-S7F1-F7VM-S462-00000-00&amp;context=" TargetMode="External" /><Relationship Id="rId1116" Type="http://schemas.openxmlformats.org/officeDocument/2006/relationships/hyperlink" Target="https://advance.lexis.com/api/document?collection=cases-ca&amp;id=urn:contentItem:5F7T-S6V1-JWR6-S16K-00000-00&amp;context=" TargetMode="External" /><Relationship Id="rId1117" Type="http://schemas.openxmlformats.org/officeDocument/2006/relationships/hyperlink" Target="https://advance.lexis.com/api/document?collection=cases-ca&amp;id=urn:contentItem:5F8T-N3V1-JTGH-B1D6-00000-00&amp;context=" TargetMode="External" /><Relationship Id="rId1118" Type="http://schemas.openxmlformats.org/officeDocument/2006/relationships/hyperlink" Target="https://advance.lexis.com/api/document?collection=cases-ca&amp;id=urn:contentItem:5F81-VJV1-F8D9-M0HP-00000-00&amp;context=" TargetMode="External" /><Relationship Id="rId1119" Type="http://schemas.openxmlformats.org/officeDocument/2006/relationships/hyperlink" Target="https://advance.lexis.com/api/document?collection=cases-ca&amp;id=urn:contentItem:5F7H-KW91-F1WF-M0RG-00000-00&amp;context=" TargetMode="External" /><Relationship Id="rId112" Type="http://schemas.openxmlformats.org/officeDocument/2006/relationships/header" Target="header11.xml" /><Relationship Id="rId1120" Type="http://schemas.openxmlformats.org/officeDocument/2006/relationships/hyperlink" Target="https://advance.lexis.com/api/document?collection=cases-ca&amp;id=urn:contentItem:5F7T-S7C1-F4NT-X3SS-00000-00&amp;context=" TargetMode="External" /><Relationship Id="rId1121" Type="http://schemas.openxmlformats.org/officeDocument/2006/relationships/hyperlink" Target="https://advance.lexis.com/api/document?collection=cases-ca&amp;id=urn:contentItem:5F8P-T8W1-F900-G44N-00000-00&amp;context=" TargetMode="External" /><Relationship Id="rId1122" Type="http://schemas.openxmlformats.org/officeDocument/2006/relationships/hyperlink" Target="https://advance.lexis.com/api/document?collection=cases-ca&amp;id=urn:contentItem:5F7T-S7D1-JS5Y-B2K9-00000-00&amp;context=" TargetMode="External" /><Relationship Id="rId1123" Type="http://schemas.openxmlformats.org/officeDocument/2006/relationships/hyperlink" Target="https://advance.lexis.com/api/document?collection=cases-ca&amp;id=urn:contentItem:5F7T-S7F1-F7VM-S3VR-00000-00&amp;context=" TargetMode="External" /><Relationship Id="rId1124" Type="http://schemas.openxmlformats.org/officeDocument/2006/relationships/hyperlink" Target="https://advance.lexis.com/api/document?collection=cases-ca&amp;id=urn:contentItem:5F8T-N3V1-JTGH-B1DY-00000-00&amp;context=" TargetMode="External" /><Relationship Id="rId1125" Type="http://schemas.openxmlformats.org/officeDocument/2006/relationships/hyperlink" Target="https://advance.lexis.com/api/document?collection=cases-ca&amp;id=urn:contentItem:5F7T-S7F1-FBN1-21XW-00000-00&amp;context=" TargetMode="External" /><Relationship Id="rId1126" Type="http://schemas.openxmlformats.org/officeDocument/2006/relationships/hyperlink" Target="https://advance.lexis.com/api/document?collection=cases-ca&amp;id=urn:contentItem:5F7T-S7C1-F7VM-S3R5-00000-00&amp;context=" TargetMode="External" /><Relationship Id="rId1127" Type="http://schemas.openxmlformats.org/officeDocument/2006/relationships/hyperlink" Target="https://advance.lexis.com/api/document?collection=cases-ca&amp;id=urn:contentItem:5F7T-S7F1-JFKM-61F6-00000-00&amp;context=" TargetMode="External" /><Relationship Id="rId1128" Type="http://schemas.openxmlformats.org/officeDocument/2006/relationships/hyperlink" Target="https://advance.lexis.com/api/document?collection=cases-ca&amp;id=urn:contentItem:5F81-VJY1-FBN1-232T-00000-00&amp;context=" TargetMode="External" /><Relationship Id="rId1129" Type="http://schemas.openxmlformats.org/officeDocument/2006/relationships/hyperlink" Target="https://advance.lexis.com/api/document?collection=cases-ca&amp;id=urn:contentItem:5F7T-S7F1-JX3N-B19Y-00000-00&amp;context=" TargetMode="External" /><Relationship Id="rId113" Type="http://schemas.openxmlformats.org/officeDocument/2006/relationships/footer" Target="footer10.xml" /><Relationship Id="rId1130" Type="http://schemas.openxmlformats.org/officeDocument/2006/relationships/hyperlink" Target="https://advance.lexis.com/api/document?collection=cases-ca&amp;id=urn:contentItem:5F7T-S7G1-JNY7-X3V9-00000-00&amp;context=" TargetMode="External" /><Relationship Id="rId1131" Type="http://schemas.openxmlformats.org/officeDocument/2006/relationships/hyperlink" Target="https://advance.lexis.com/api/document?collection=cases-ca&amp;id=urn:contentItem:5F16-9311-JGHR-M3PV-00000-00&amp;context=" TargetMode="External" /><Relationship Id="rId1132" Type="http://schemas.openxmlformats.org/officeDocument/2006/relationships/hyperlink" Target="https://advance.lexis.com/api/document?collection=cases-ca&amp;id=urn:contentItem:5F8P-SFC1-JXG3-X453-00000-00&amp;context=" TargetMode="External" /><Relationship Id="rId1133" Type="http://schemas.openxmlformats.org/officeDocument/2006/relationships/hyperlink" Target="https://advance.lexis.com/api/document?collection=cases-ca&amp;id=urn:contentItem:5F8P-SDS1-F956-S0WC-00000-00&amp;context=" TargetMode="External" /><Relationship Id="rId1134" Type="http://schemas.openxmlformats.org/officeDocument/2006/relationships/hyperlink" Target="https://advance.lexis.com/api/document?collection=cases-ca&amp;id=urn:contentItem:5F7T-S721-F5T5-M2DX-00000-00&amp;context=" TargetMode="External" /><Relationship Id="rId1135" Type="http://schemas.openxmlformats.org/officeDocument/2006/relationships/hyperlink" Target="https://advance.lexis.com/api/document?collection=cases-ca&amp;id=urn:contentItem:5F7T-S741-FJM6-61TS-00000-00&amp;context=" TargetMode="External" /><Relationship Id="rId1136" Type="http://schemas.openxmlformats.org/officeDocument/2006/relationships/hyperlink" Target="https://advance.lexis.com/api/document?collection=cases-ca&amp;id=urn:contentItem:5F8P-SCR1-DY33-B0WJ-00000-00&amp;context=" TargetMode="External" /><Relationship Id="rId1137" Type="http://schemas.openxmlformats.org/officeDocument/2006/relationships/hyperlink" Target="https://advance.lexis.com/api/document?collection=cases-ca&amp;id=urn:contentItem:5F8P-SDM1-F5T5-M2PM-00000-00&amp;context=" TargetMode="External" /><Relationship Id="rId1138" Type="http://schemas.openxmlformats.org/officeDocument/2006/relationships/hyperlink" Target="https://advance.lexis.com/api/document?collection=cases-ca&amp;id=urn:contentItem:5F81-VJV1-JG59-22D7-00000-00&amp;context=" TargetMode="External" /><Relationship Id="rId1139" Type="http://schemas.openxmlformats.org/officeDocument/2006/relationships/hyperlink" Target="https://advance.lexis.com/api/document?collection=cases-ca&amp;id=urn:contentItem:5F7T-S721-F57G-S16N-00000-00&amp;context=" TargetMode="External" /><Relationship Id="rId114" Type="http://schemas.openxmlformats.org/officeDocument/2006/relationships/footer" Target="footer11.xml" /><Relationship Id="rId1140" Type="http://schemas.openxmlformats.org/officeDocument/2006/relationships/header" Target="header136.xml" /><Relationship Id="rId1141" Type="http://schemas.openxmlformats.org/officeDocument/2006/relationships/header" Target="header137.xml" /><Relationship Id="rId1142" Type="http://schemas.openxmlformats.org/officeDocument/2006/relationships/footer" Target="footer136.xml" /><Relationship Id="rId1143" Type="http://schemas.openxmlformats.org/officeDocument/2006/relationships/footer" Target="footer137.xml" /><Relationship Id="rId1144" Type="http://schemas.openxmlformats.org/officeDocument/2006/relationships/header" Target="header138.xml" /><Relationship Id="rId1145" Type="http://schemas.openxmlformats.org/officeDocument/2006/relationships/footer" Target="footer138.xml" /><Relationship Id="rId1146" Type="http://schemas.openxmlformats.org/officeDocument/2006/relationships/hyperlink" Target="https://advance.lexis.com/api/document?collection=cases-ca&amp;id=urn:contentItem:5TCV-WSJ1-FBN1-22PP-00000-00&amp;context=" TargetMode="External" /><Relationship Id="rId1147" Type="http://schemas.openxmlformats.org/officeDocument/2006/relationships/hyperlink" Target="https://advance.lexis.com/api/document?collection=legislation-ca&amp;id=urn:contentItem:5F41-1FG1-F4NT-X0H7-00000-00&amp;context=" TargetMode="External" /><Relationship Id="rId1148" Type="http://schemas.openxmlformats.org/officeDocument/2006/relationships/hyperlink" Target="https://advance.lexis.com/api/document?collection=cases-ca&amp;id=urn:contentItem:5F7T-S7C1-JXG3-X0CN-00000-00&amp;context=" TargetMode="External" /><Relationship Id="rId1149" Type="http://schemas.openxmlformats.org/officeDocument/2006/relationships/hyperlink" Target="https://advance.lexis.com/api/document?collection=cases-ca&amp;id=urn:contentItem:5F7T-S7C1-F4NT-X3N0-00000-00&amp;context=" TargetMode="External" /><Relationship Id="rId115" Type="http://schemas.openxmlformats.org/officeDocument/2006/relationships/header" Target="header12.xml" /><Relationship Id="rId1150" Type="http://schemas.openxmlformats.org/officeDocument/2006/relationships/hyperlink" Target="https://advance.lexis.com/api/document?collection=cases-ca&amp;id=urn:contentItem:5F82-1SF1-JB7K-23CG-00000-00&amp;context=" TargetMode="External" /><Relationship Id="rId1151" Type="http://schemas.openxmlformats.org/officeDocument/2006/relationships/hyperlink" Target="https://advance.lexis.com/api/document?collection=cases-ca&amp;id=urn:contentItem:5F7T-S7M1-JNCK-22WD-00000-00&amp;context=" TargetMode="External" /><Relationship Id="rId1152" Type="http://schemas.openxmlformats.org/officeDocument/2006/relationships/hyperlink" Target="https://advance.lexis.com/api/document?collection=cases-ca&amp;id=urn:contentItem:5F7T-S6X1-JXNB-62S2-00000-00&amp;context=" TargetMode="External" /><Relationship Id="rId1153" Type="http://schemas.openxmlformats.org/officeDocument/2006/relationships/hyperlink" Target="https://advance.lexis.com/api/document?collection=cases-ca&amp;id=urn:contentItem:5F7T-S6R1-JGPY-X18C-00000-00&amp;context=" TargetMode="External" /><Relationship Id="rId1154" Type="http://schemas.openxmlformats.org/officeDocument/2006/relationships/hyperlink" Target="https://advance.lexis.com/api/document?collection=cases-ca&amp;id=urn:contentItem:5F7T-S761-F7ND-G4MK-00000-00&amp;context=" TargetMode="External" /><Relationship Id="rId1155" Type="http://schemas.openxmlformats.org/officeDocument/2006/relationships/hyperlink" Target="https://advance.lexis.com/api/document?collection=cases-ca&amp;id=urn:contentItem:5F7T-S6X1-F7G6-6267-00000-00&amp;context=" TargetMode="External" /><Relationship Id="rId1156" Type="http://schemas.openxmlformats.org/officeDocument/2006/relationships/hyperlink" Target="https://advance.lexis.com/api/document?collection=cases-ca&amp;id=urn:contentItem:5F7T-S6Y1-JTNR-M4MV-00000-00&amp;context=" TargetMode="External" /><Relationship Id="rId1157" Type="http://schemas.openxmlformats.org/officeDocument/2006/relationships/hyperlink" Target="https://advance.lexis.com/api/document?collection=cases-ca&amp;id=urn:contentItem:5F7T-S7N1-F06F-24DY-00000-00&amp;context=" TargetMode="External" /><Relationship Id="rId1158" Type="http://schemas.openxmlformats.org/officeDocument/2006/relationships/hyperlink" Target="https://advance.lexis.com/api/document?collection=cases-ca&amp;id=urn:contentItem:5F7T-S771-FG68-G0NM-00000-00&amp;context=" TargetMode="External" /><Relationship Id="rId1159" Type="http://schemas.openxmlformats.org/officeDocument/2006/relationships/hyperlink" Target="https://advance.lexis.com/api/document?collection=cases-ca&amp;id=urn:contentItem:5F8T-N3V1-JTGH-B14Y-00000-00&amp;context=" TargetMode="External" /><Relationship Id="rId116" Type="http://schemas.openxmlformats.org/officeDocument/2006/relationships/footer" Target="footer12.xml" /><Relationship Id="rId1160" Type="http://schemas.openxmlformats.org/officeDocument/2006/relationships/hyperlink" Target="https://advance.lexis.com/api/document?collection=cases-ca&amp;id=urn:contentItem:5F8T-N3V1-FC1F-M43T-00000-00&amp;context=" TargetMode="External" /><Relationship Id="rId1161" Type="http://schemas.openxmlformats.org/officeDocument/2006/relationships/hyperlink" Target="https://advance.lexis.com/api/document?collection=cases-ca&amp;id=urn:contentItem:5F7T-S6W1-F8SS-62MY-00000-00&amp;context=" TargetMode="External" /><Relationship Id="rId1162" Type="http://schemas.openxmlformats.org/officeDocument/2006/relationships/header" Target="header139.xml" /><Relationship Id="rId1163" Type="http://schemas.openxmlformats.org/officeDocument/2006/relationships/header" Target="header140.xml" /><Relationship Id="rId1164" Type="http://schemas.openxmlformats.org/officeDocument/2006/relationships/footer" Target="footer139.xml" /><Relationship Id="rId1165" Type="http://schemas.openxmlformats.org/officeDocument/2006/relationships/footer" Target="footer140.xml" /><Relationship Id="rId1166" Type="http://schemas.openxmlformats.org/officeDocument/2006/relationships/header" Target="header141.xml" /><Relationship Id="rId1167" Type="http://schemas.openxmlformats.org/officeDocument/2006/relationships/footer" Target="footer141.xml" /><Relationship Id="rId1168" Type="http://schemas.openxmlformats.org/officeDocument/2006/relationships/hyperlink" Target="https://advance.lexis.com/api/document?collection=cases-ca&amp;id=urn:contentItem:5F7T-S771-JSJC-X056-00000-00&amp;context=" TargetMode="External" /><Relationship Id="rId1169" Type="http://schemas.openxmlformats.org/officeDocument/2006/relationships/hyperlink" Target="https://advance.lexis.com/api/document?collection=cases-ca&amp;id=urn:contentItem:5F7T-S721-F8D9-M15C-00000-00&amp;context=" TargetMode="External" /><Relationship Id="rId117" Type="http://schemas.openxmlformats.org/officeDocument/2006/relationships/hyperlink" Target="https://advance.lexis.com/api/document?collection=cases-ca&amp;id=urn:contentItem:5J3K-3591-F956-S3CH-00000-00&amp;context=" TargetMode="External" /><Relationship Id="rId1170" Type="http://schemas.openxmlformats.org/officeDocument/2006/relationships/hyperlink" Target="https://advance.lexis.com/api/document?collection=cases-ca&amp;id=urn:contentItem:5F7T-S731-F016-S34H-00000-00&amp;context=" TargetMode="External" /><Relationship Id="rId1171" Type="http://schemas.openxmlformats.org/officeDocument/2006/relationships/header" Target="header142.xml" /><Relationship Id="rId1172" Type="http://schemas.openxmlformats.org/officeDocument/2006/relationships/header" Target="header143.xml" /><Relationship Id="rId1173" Type="http://schemas.openxmlformats.org/officeDocument/2006/relationships/footer" Target="footer142.xml" /><Relationship Id="rId1174" Type="http://schemas.openxmlformats.org/officeDocument/2006/relationships/footer" Target="footer143.xml" /><Relationship Id="rId1175" Type="http://schemas.openxmlformats.org/officeDocument/2006/relationships/header" Target="header144.xml" /><Relationship Id="rId1176" Type="http://schemas.openxmlformats.org/officeDocument/2006/relationships/footer" Target="footer144.xml" /><Relationship Id="rId1177" Type="http://schemas.openxmlformats.org/officeDocument/2006/relationships/hyperlink" Target="https://advance.lexis.com/api/document?collection=cases-ca&amp;id=urn:contentItem:5F7T-S7C1-F7VM-S3N8-00000-00&amp;context=" TargetMode="External" /><Relationship Id="rId1178" Type="http://schemas.openxmlformats.org/officeDocument/2006/relationships/hyperlink" Target="https://advance.lexis.com/api/document?collection=cases-ca&amp;id=urn:contentItem:5K6Y-81M1-F65M-618K-00000-00&amp;context=" TargetMode="External" /><Relationship Id="rId1179" Type="http://schemas.openxmlformats.org/officeDocument/2006/relationships/hyperlink" Target="https://advance.lexis.com/api/document?collection=cases-ca&amp;id=urn:contentItem:5F7T-S711-JNS1-M108-00000-00&amp;context=" TargetMode="External" /><Relationship Id="rId118" Type="http://schemas.openxmlformats.org/officeDocument/2006/relationships/hyperlink" Target="https://advance.lexis.com/api/document?collection=legislation-ca&amp;id=urn:contentItem:5F3B-B791-JW09-M0XN-00000-00&amp;context=" TargetMode="External" /><Relationship Id="rId1180" Type="http://schemas.openxmlformats.org/officeDocument/2006/relationships/hyperlink" Target="https://advance.lexis.com/api/document?collection=cases-ca&amp;id=urn:contentItem:5F7T-S701-JF75-M47G-00000-00&amp;context=" TargetMode="External" /><Relationship Id="rId1181" Type="http://schemas.openxmlformats.org/officeDocument/2006/relationships/hyperlink" Target="https://advance.lexis.com/api/document?collection=cases-ca&amp;id=urn:contentItem:5F7T-S721-F8D9-M10D-00000-00&amp;context=" TargetMode="External" /><Relationship Id="rId1182" Type="http://schemas.openxmlformats.org/officeDocument/2006/relationships/header" Target="header145.xml" /><Relationship Id="rId1183" Type="http://schemas.openxmlformats.org/officeDocument/2006/relationships/header" Target="header146.xml" /><Relationship Id="rId1184" Type="http://schemas.openxmlformats.org/officeDocument/2006/relationships/footer" Target="footer145.xml" /><Relationship Id="rId1185" Type="http://schemas.openxmlformats.org/officeDocument/2006/relationships/footer" Target="footer146.xml" /><Relationship Id="rId1186" Type="http://schemas.openxmlformats.org/officeDocument/2006/relationships/header" Target="header147.xml" /><Relationship Id="rId1187" Type="http://schemas.openxmlformats.org/officeDocument/2006/relationships/footer" Target="footer147.xml" /><Relationship Id="rId1188" Type="http://schemas.openxmlformats.org/officeDocument/2006/relationships/hyperlink" Target="https://advance.lexis.com/api/document?collection=cases-ca&amp;id=urn:contentItem:5F7T-S7P1-F2TK-23MM-00000-00&amp;context=" TargetMode="External" /><Relationship Id="rId1189" Type="http://schemas.openxmlformats.org/officeDocument/2006/relationships/hyperlink" Target="https://advance.lexis.com/api/document?collection=cases-ca&amp;id=urn:contentItem:5F7T-S7B1-FH4C-X3VV-00000-00&amp;context=" TargetMode="External" /><Relationship Id="rId119" Type="http://schemas.openxmlformats.org/officeDocument/2006/relationships/hyperlink" Target="https://advance.lexis.com/api/document?collection=legislation-ca&amp;id=urn:contentItem:5MTG-54W1-DYFH-X1ST-00000-00&amp;context=" TargetMode="External" /><Relationship Id="rId1190" Type="http://schemas.openxmlformats.org/officeDocument/2006/relationships/hyperlink" Target="https://advance.lexis.com/api/document?collection=cases-ca&amp;id=urn:contentItem:5F7T-S751-FJDY-X3VG-00000-00&amp;context=" TargetMode="External" /><Relationship Id="rId1191" Type="http://schemas.openxmlformats.org/officeDocument/2006/relationships/hyperlink" Target="https://advance.lexis.com/api/document?collection=cases-ca&amp;id=urn:contentItem:5F7T-S771-FG68-G0V3-00000-00&amp;context=" TargetMode="External" /><Relationship Id="rId1192" Type="http://schemas.openxmlformats.org/officeDocument/2006/relationships/hyperlink" Target="https://advance.lexis.com/api/document?collection=cases-ca&amp;id=urn:contentItem:5F7T-S711-F4GK-M2FC-00000-00&amp;context=" TargetMode="External" /><Relationship Id="rId1193" Type="http://schemas.openxmlformats.org/officeDocument/2006/relationships/hyperlink" Target="https://advance.lexis.com/api/document?collection=cases-ca&amp;id=urn:contentItem:5F7T-S781-F27X-61BF-00000-00&amp;context=" TargetMode="External" /><Relationship Id="rId1194" Type="http://schemas.openxmlformats.org/officeDocument/2006/relationships/header" Target="header148.xml" /><Relationship Id="rId1195" Type="http://schemas.openxmlformats.org/officeDocument/2006/relationships/header" Target="header149.xml" /><Relationship Id="rId1196" Type="http://schemas.openxmlformats.org/officeDocument/2006/relationships/footer" Target="footer148.xml" /><Relationship Id="rId1197" Type="http://schemas.openxmlformats.org/officeDocument/2006/relationships/footer" Target="footer149.xml" /><Relationship Id="rId1198" Type="http://schemas.openxmlformats.org/officeDocument/2006/relationships/header" Target="header150.xml" /><Relationship Id="rId1199" Type="http://schemas.openxmlformats.org/officeDocument/2006/relationships/footer" Target="footer150.xml" /><Relationship Id="rId12" Type="http://schemas.openxmlformats.org/officeDocument/2006/relationships/hyperlink" Target="https://advance.lexis.com/api/document?collection=cases-ca&amp;id=urn:contentItem:5F8T-N3V1-JTGH-B111-00000-00&amp;context=" TargetMode="External" /><Relationship Id="rId120" Type="http://schemas.openxmlformats.org/officeDocument/2006/relationships/hyperlink" Target="https://advance.lexis.com/api/document?collection=legislation-ca&amp;id=urn:contentItem:5VYK-WB61-JXG3-X3FD-00000-00&amp;context=" TargetMode="External" /><Relationship Id="rId1200" Type="http://schemas.openxmlformats.org/officeDocument/2006/relationships/hyperlink" Target="https://advance.lexis.com/api/document?collection=cases-ca&amp;id=urn:contentItem:5F7T-S781-JSC5-M3YN-00000-00&amp;context=" TargetMode="External" /><Relationship Id="rId1201" Type="http://schemas.openxmlformats.org/officeDocument/2006/relationships/hyperlink" Target="https://advance.lexis.com/api/document?collection=legislation-ca&amp;id=urn:contentItem:5F41-1FG1-JGHR-M2RC-00000-00&amp;context=" TargetMode="External" /><Relationship Id="rId1202" Type="http://schemas.openxmlformats.org/officeDocument/2006/relationships/hyperlink" Target="https://advance.lexis.com/api/document?collection=cases-ca&amp;id=urn:contentItem:5F7T-S6S1-JX3N-B0KH-00000-00&amp;context=" TargetMode="External" /><Relationship Id="rId1203" Type="http://schemas.openxmlformats.org/officeDocument/2006/relationships/hyperlink" Target="https://advance.lexis.com/api/document?collection=cases-ca&amp;id=urn:contentItem:5F7T-S721-F06F-236K-00000-00&amp;context=" TargetMode="External" /><Relationship Id="rId1204" Type="http://schemas.openxmlformats.org/officeDocument/2006/relationships/hyperlink" Target="https://advance.lexis.com/api/document?collection=cases-ca&amp;id=urn:contentItem:5F82-1SC1-FJTD-G54B-00000-00&amp;context=" TargetMode="External" /><Relationship Id="rId1205" Type="http://schemas.openxmlformats.org/officeDocument/2006/relationships/hyperlink" Target="https://advance.lexis.com/api/document?collection=cases-ca&amp;id=urn:contentItem:5F8T-N3T1-JJSF-23B2-00000-00&amp;context=" TargetMode="External" /><Relationship Id="rId1206" Type="http://schemas.openxmlformats.org/officeDocument/2006/relationships/hyperlink" Target="https://advance.lexis.com/api/document?collection=cases-ca&amp;id=urn:contentItem:5F8T-N3V1-JF75-M3JV-00000-00&amp;context=" TargetMode="External" /><Relationship Id="rId1207" Type="http://schemas.openxmlformats.org/officeDocument/2006/relationships/hyperlink" Target="https://advance.lexis.com/api/document?collection=cases-ca&amp;id=urn:contentItem:5F8T-N3V1-JF75-M3JW-00000-00&amp;context=" TargetMode="External" /><Relationship Id="rId1208" Type="http://schemas.openxmlformats.org/officeDocument/2006/relationships/hyperlink" Target="https://advance.lexis.com/api/document?collection=cases-ca&amp;id=urn:contentItem:5F8T-N3V1-FC1F-M44H-00000-00&amp;context=" TargetMode="External" /><Relationship Id="rId1209" Type="http://schemas.openxmlformats.org/officeDocument/2006/relationships/hyperlink" Target="https://advance.lexis.com/api/document?collection=cases-ca&amp;id=urn:contentItem:5F7H-KW71-JFDC-X00T-00000-00&amp;context=" TargetMode="External" /><Relationship Id="rId121" Type="http://schemas.openxmlformats.org/officeDocument/2006/relationships/hyperlink" Target="https://advance.lexis.com/api/document?collection=cases-ca&amp;id=urn:contentItem:5F8T-N3T1-JFKM-654F-00000-00&amp;context=" TargetMode="External" /><Relationship Id="rId1210" Type="http://schemas.openxmlformats.org/officeDocument/2006/relationships/hyperlink" Target="https://advance.lexis.com/api/document?collection=cases-ca&amp;id=urn:contentItem:5F81-VJX1-JP9P-G45N-00000-00&amp;context=" TargetMode="External" /><Relationship Id="rId1211" Type="http://schemas.openxmlformats.org/officeDocument/2006/relationships/hyperlink" Target="https://advance.lexis.com/api/document?collection=cases-ca&amp;id=urn:contentItem:5F8W-M461-JJ1H-X298-00000-00&amp;context=" TargetMode="External" /><Relationship Id="rId1212" Type="http://schemas.openxmlformats.org/officeDocument/2006/relationships/hyperlink" Target="https://advance.lexis.com/api/document?collection=cases-ca&amp;id=urn:contentItem:5F7T-S771-JJD0-G1KD-00000-00&amp;context=" TargetMode="External" /><Relationship Id="rId1213" Type="http://schemas.openxmlformats.org/officeDocument/2006/relationships/hyperlink" Target="https://advance.lexis.com/api/document?collection=cases-ca&amp;id=urn:contentItem:5F8P-SD61-JWJ0-G208-00000-00&amp;context=" TargetMode="External" /><Relationship Id="rId1214" Type="http://schemas.openxmlformats.org/officeDocument/2006/relationships/hyperlink" Target="https://advance.lexis.com/api/document?collection=cases-ca&amp;id=urn:contentItem:5F82-1SD1-FCK4-G30C-00000-00&amp;context=" TargetMode="External" /><Relationship Id="rId1215" Type="http://schemas.openxmlformats.org/officeDocument/2006/relationships/hyperlink" Target="https://advance.lexis.com/api/document?collection=cases-ca&amp;id=urn:contentItem:5F81-VJX1-JKPJ-G1D0-00000-00&amp;context=" TargetMode="External" /><Relationship Id="rId1216" Type="http://schemas.openxmlformats.org/officeDocument/2006/relationships/hyperlink" Target="https://advance.lexis.com/api/document?collection=cases-ca&amp;id=urn:contentItem:5F82-1SF1-JXG3-X225-00000-00&amp;context=" TargetMode="External" /><Relationship Id="rId1217" Type="http://schemas.openxmlformats.org/officeDocument/2006/relationships/hyperlink" Target="https://advance.lexis.com/api/document?collection=cases-ca&amp;id=urn:contentItem:5F7H-KW91-F57G-S089-00000-00&amp;context=" TargetMode="External" /><Relationship Id="rId1218" Type="http://schemas.openxmlformats.org/officeDocument/2006/relationships/hyperlink" Target="https://advance.lexis.com/api/document?collection=cases-ca&amp;id=urn:contentItem:5F7H-KW91-F57G-S03S-00000-00&amp;context=" TargetMode="External" /><Relationship Id="rId1219" Type="http://schemas.openxmlformats.org/officeDocument/2006/relationships/hyperlink" Target="https://advance.lexis.com/api/document?collection=cases-ca&amp;id=urn:contentItem:5F8P-SD31-JSRM-62VR-00000-00&amp;context=" TargetMode="External" /><Relationship Id="rId122" Type="http://schemas.openxmlformats.org/officeDocument/2006/relationships/hyperlink" Target="https://advance.lexis.com/api/document?collection=cases-ca&amp;id=urn:contentItem:5F8T-N3V1-FC1F-M490-00000-00&amp;context=" TargetMode="External" /><Relationship Id="rId1220" Type="http://schemas.openxmlformats.org/officeDocument/2006/relationships/hyperlink" Target="https://advance.lexis.com/api/document?collection=cases-ca&amp;id=urn:contentItem:5F82-1SD1-JFKM-608H-00000-00&amp;context=" TargetMode="External" /><Relationship Id="rId1221" Type="http://schemas.openxmlformats.org/officeDocument/2006/relationships/hyperlink" Target="https://advance.lexis.com/api/document?collection=cases-ca&amp;id=urn:contentItem:5F8P-SD91-F27X-618F-00000-00&amp;context=" TargetMode="External" /><Relationship Id="rId1222" Type="http://schemas.openxmlformats.org/officeDocument/2006/relationships/hyperlink" Target="https://advance.lexis.com/api/document?collection=cases-ca&amp;id=urn:contentItem:5F8P-SD31-F2MB-S4BF-00000-00&amp;context=" TargetMode="External" /><Relationship Id="rId1223" Type="http://schemas.openxmlformats.org/officeDocument/2006/relationships/hyperlink" Target="https://advance.lexis.com/api/document?collection=cases-ca&amp;id=urn:contentItem:5F8W-M461-JJ1H-X222-00000-00&amp;context=" TargetMode="External" /><Relationship Id="rId1224" Type="http://schemas.openxmlformats.org/officeDocument/2006/relationships/hyperlink" Target="https://advance.lexis.com/api/document?collection=cases-ca&amp;id=urn:contentItem:5F8W-M461-K0HK-238H-00000-00&amp;context=" TargetMode="External" /><Relationship Id="rId1225" Type="http://schemas.openxmlformats.org/officeDocument/2006/relationships/hyperlink" Target="https://advance.lexis.com/api/document?collection=cases-ca&amp;id=urn:contentItem:5F81-VJX1-FFTT-X1PN-00000-00&amp;context=" TargetMode="External" /><Relationship Id="rId1226" Type="http://schemas.openxmlformats.org/officeDocument/2006/relationships/hyperlink" Target="https://advance.lexis.com/api/document?collection=cases-ca&amp;id=urn:contentItem:5F82-1SD1-FCK4-G2RM-00000-00&amp;context=" TargetMode="External" /><Relationship Id="rId1227" Type="http://schemas.openxmlformats.org/officeDocument/2006/relationships/hyperlink" Target="https://advance.lexis.com/api/document?collection=cases-ca&amp;id=urn:contentItem:5F8P-SCY1-FJTD-G4R2-00000-00&amp;context=" TargetMode="External" /><Relationship Id="rId1228" Type="http://schemas.openxmlformats.org/officeDocument/2006/relationships/hyperlink" Target="https://advance.lexis.com/api/document?collection=cases-ca&amp;id=urn:contentItem:5F8N-K701-FGJR-239X-00000-00&amp;context=" TargetMode="External" /><Relationship Id="rId1229" Type="http://schemas.openxmlformats.org/officeDocument/2006/relationships/hyperlink" Target="https://advance.lexis.com/api/document?collection=cases-ca&amp;id=urn:contentItem:5F82-1SD1-F8D9-M2J5-00000-00&amp;context=" TargetMode="External" /><Relationship Id="rId123" Type="http://schemas.openxmlformats.org/officeDocument/2006/relationships/hyperlink" Target="https://advance.lexis.com/api/document?collection=cases-ca&amp;id=urn:contentItem:5F7T-S7P1-JP4G-61XK-00000-00&amp;context=" TargetMode="External" /><Relationship Id="rId1230" Type="http://schemas.openxmlformats.org/officeDocument/2006/relationships/hyperlink" Target="https://advance.lexis.com/api/document?collection=cases-ca&amp;id=urn:contentItem:5F7T-S761-FFMK-M104-00000-00&amp;context=" TargetMode="External" /><Relationship Id="rId1231" Type="http://schemas.openxmlformats.org/officeDocument/2006/relationships/hyperlink" Target="https://advance.lexis.com/api/document?collection=cases-ca&amp;id=urn:contentItem:5F16-9361-K0HK-21MC-00000-00&amp;context=" TargetMode="External" /><Relationship Id="rId1232" Type="http://schemas.openxmlformats.org/officeDocument/2006/relationships/hyperlink" Target="https://advance.lexis.com/api/document?collection=cases-ca&amp;id=urn:contentItem:5F7V-3DJ1-JBDT-B0RM-00000-00&amp;context=" TargetMode="External" /><Relationship Id="rId1233" Type="http://schemas.openxmlformats.org/officeDocument/2006/relationships/hyperlink" Target="https://advance.lexis.com/api/document?collection=cases-ca&amp;id=urn:contentItem:5F8T-N3T1-JGHR-M220-00000-00&amp;context=" TargetMode="External" /><Relationship Id="rId1234" Type="http://schemas.openxmlformats.org/officeDocument/2006/relationships/hyperlink" Target="https://advance.lexis.com/api/document?collection=cases-ca&amp;id=urn:contentItem:5F7T-S751-JG02-S2J0-00000-00&amp;context=" TargetMode="External" /><Relationship Id="rId1235" Type="http://schemas.openxmlformats.org/officeDocument/2006/relationships/hyperlink" Target="https://advance.lexis.com/api/document?collection=cases-ca&amp;id=urn:contentItem:5F7T-S761-JX8W-M32W-00000-00&amp;context=" TargetMode="External" /><Relationship Id="rId1236" Type="http://schemas.openxmlformats.org/officeDocument/2006/relationships/hyperlink" Target="https://advance.lexis.com/api/document?collection=cases-ca&amp;id=urn:contentItem:5F7T-S761-F81W-21PB-00000-00&amp;context=" TargetMode="External" /><Relationship Id="rId1237" Type="http://schemas.openxmlformats.org/officeDocument/2006/relationships/hyperlink" Target="https://advance.lexis.com/api/document?collection=cases-ca&amp;id=urn:contentItem:5F7H-SCP1-JKHB-61MY-00000-00&amp;context=" TargetMode="External" /><Relationship Id="rId1238" Type="http://schemas.openxmlformats.org/officeDocument/2006/relationships/hyperlink" Target="https://advance.lexis.com/api/document?collection=cases-ca&amp;id=urn:contentItem:5F7T-S741-FJM6-61FS-00000-00&amp;context=" TargetMode="External" /><Relationship Id="rId1239" Type="http://schemas.openxmlformats.org/officeDocument/2006/relationships/hyperlink" Target="https://advance.lexis.com/api/document?collection=cases-ca&amp;id=urn:contentItem:5F81-VJX1-FFTT-X1SX-00000-00&amp;context=" TargetMode="External" /><Relationship Id="rId124" Type="http://schemas.openxmlformats.org/officeDocument/2006/relationships/hyperlink" Target="https://advance.lexis.com/api/document?collection=cases-ca&amp;id=urn:contentItem:5F81-VJX1-JX3N-B17H-00000-00&amp;context=" TargetMode="External" /><Relationship Id="rId1240" Type="http://schemas.openxmlformats.org/officeDocument/2006/relationships/hyperlink" Target="https://advance.lexis.com/api/document?collection=cases-ca&amp;id=urn:contentItem:5F8P-SD91-JTNR-M408-00000-00&amp;context=" TargetMode="External" /><Relationship Id="rId1241" Type="http://schemas.openxmlformats.org/officeDocument/2006/relationships/hyperlink" Target="https://advance.lexis.com/api/document?collection=cases-ca&amp;id=urn:contentItem:5F8P-SD61-JWJ0-G25N-00000-00&amp;context=" TargetMode="External" /><Relationship Id="rId1242" Type="http://schemas.openxmlformats.org/officeDocument/2006/relationships/hyperlink" Target="https://advance.lexis.com/api/document?collection=cases-ca&amp;id=urn:contentItem:5F7T-S771-F81W-22SN-00000-00&amp;context=" TargetMode="External" /><Relationship Id="rId1243" Type="http://schemas.openxmlformats.org/officeDocument/2006/relationships/hyperlink" Target="https://advance.lexis.com/api/document?collection=cases-ca&amp;id=urn:contentItem:5F7V-3DJ1-F30T-B3H7-00000-00&amp;context=" TargetMode="External" /><Relationship Id="rId1244" Type="http://schemas.openxmlformats.org/officeDocument/2006/relationships/numbering" Target="numbering.xml" /><Relationship Id="rId1245" Type="http://schemas.openxmlformats.org/officeDocument/2006/relationships/styles" Target="styles.xml" /><Relationship Id="rId125" Type="http://schemas.openxmlformats.org/officeDocument/2006/relationships/hyperlink" Target="https://advance.lexis.com/api/document?collection=cases-ca&amp;id=urn:contentItem:5F81-VJX1-FGCG-S2NS-00000-00&amp;context=" TargetMode="External" /><Relationship Id="rId126" Type="http://schemas.openxmlformats.org/officeDocument/2006/relationships/hyperlink" Target="https://advance.lexis.com/api/document?collection=cases-ca&amp;id=urn:contentItem:5F8N-K6X1-JXNB-62V1-00000-00&amp;context=" TargetMode="External" /><Relationship Id="rId127" Type="http://schemas.openxmlformats.org/officeDocument/2006/relationships/hyperlink" Target="https://advance.lexis.com/api/document?collection=cases-ca&amp;id=urn:contentItem:5F81-VJX1-F5KY-B4DP-00000-00&amp;context=" TargetMode="External" /><Relationship Id="rId128" Type="http://schemas.openxmlformats.org/officeDocument/2006/relationships/hyperlink" Target="https://advance.lexis.com/api/document?collection=cases-ca&amp;id=urn:contentItem:5F7T-S7F1-JX3N-B1VS-00000-00&amp;context=" TargetMode="External" /><Relationship Id="rId129" Type="http://schemas.openxmlformats.org/officeDocument/2006/relationships/header" Target="header13.xml" /><Relationship Id="rId13" Type="http://schemas.openxmlformats.org/officeDocument/2006/relationships/hyperlink" Target="https://advance.lexis.com/api/document?collection=cases-ca&amp;id=urn:contentItem:5F8T-N3V1-JFKM-6096-00000-00&amp;context=" TargetMode="External" /><Relationship Id="rId130" Type="http://schemas.openxmlformats.org/officeDocument/2006/relationships/header" Target="header14.xml" /><Relationship Id="rId131" Type="http://schemas.openxmlformats.org/officeDocument/2006/relationships/footer" Target="footer13.xml" /><Relationship Id="rId132" Type="http://schemas.openxmlformats.org/officeDocument/2006/relationships/footer" Target="footer14.xml" /><Relationship Id="rId133" Type="http://schemas.openxmlformats.org/officeDocument/2006/relationships/header" Target="header15.xml" /><Relationship Id="rId134" Type="http://schemas.openxmlformats.org/officeDocument/2006/relationships/footer" Target="footer15.xml" /><Relationship Id="rId135" Type="http://schemas.openxmlformats.org/officeDocument/2006/relationships/hyperlink" Target="https://advance.lexis.com/api/document?collection=cases-ca&amp;id=urn:contentItem:5F7T-S7M1-F4W2-624X-00000-00&amp;context=" TargetMode="External" /><Relationship Id="rId136" Type="http://schemas.openxmlformats.org/officeDocument/2006/relationships/hyperlink" Target="https://advance.lexis.com/api/document?collection=cases-ca&amp;id=urn:contentItem:5F7T-S6T1-F2F4-G1FK-00000-00&amp;context=" TargetMode="External" /><Relationship Id="rId137" Type="http://schemas.openxmlformats.org/officeDocument/2006/relationships/header" Target="header16.xml" /><Relationship Id="rId138" Type="http://schemas.openxmlformats.org/officeDocument/2006/relationships/header" Target="header17.xml" /><Relationship Id="rId139" Type="http://schemas.openxmlformats.org/officeDocument/2006/relationships/footer" Target="footer16.xml" /><Relationship Id="rId14" Type="http://schemas.openxmlformats.org/officeDocument/2006/relationships/hyperlink" Target="https://advance.lexis.com/api/document?collection=cases-ca&amp;id=urn:contentItem:5F8T-N3V1-JFKM-609G-00000-00&amp;context=" TargetMode="External" /><Relationship Id="rId140" Type="http://schemas.openxmlformats.org/officeDocument/2006/relationships/footer" Target="footer17.xml" /><Relationship Id="rId141" Type="http://schemas.openxmlformats.org/officeDocument/2006/relationships/header" Target="header18.xml" /><Relationship Id="rId142" Type="http://schemas.openxmlformats.org/officeDocument/2006/relationships/footer" Target="footer18.xml" /><Relationship Id="rId143" Type="http://schemas.openxmlformats.org/officeDocument/2006/relationships/hyperlink" Target="https://advance.lexis.com/api/document?collection=cases-ca&amp;id=urn:contentItem:5F7T-S7J1-FGCG-S06X-00000-00&amp;context=" TargetMode="External" /><Relationship Id="rId144" Type="http://schemas.openxmlformats.org/officeDocument/2006/relationships/hyperlink" Target="https://advance.lexis.com/api/document?collection=legislation-ca&amp;id=urn:contentItem:5F41-1FM1-FCK4-G02V-00000-00&amp;context=" TargetMode="External" /><Relationship Id="rId145" Type="http://schemas.openxmlformats.org/officeDocument/2006/relationships/hyperlink" Target="https://advance.lexis.com/api/document?collection=legislation-ca&amp;id=urn:contentItem:5F41-1FG1-JC0G-61TV-00000-00&amp;context=" TargetMode="External" /><Relationship Id="rId146" Type="http://schemas.openxmlformats.org/officeDocument/2006/relationships/hyperlink" Target="https://advance.lexis.com/api/document?collection=cases-ca&amp;id=urn:contentItem:5F7T-S7F1-F7VM-S4F6-00000-00&amp;context=" TargetMode="External" /><Relationship Id="rId147" Type="http://schemas.openxmlformats.org/officeDocument/2006/relationships/hyperlink" Target="https://advance.lexis.com/api/document?collection=cases-ca&amp;id=urn:contentItem:5F7T-S7G1-JX3N-B24S-00000-00&amp;context=" TargetMode="External" /><Relationship Id="rId148" Type="http://schemas.openxmlformats.org/officeDocument/2006/relationships/hyperlink" Target="https://advance.lexis.com/api/document?collection=cases-ca&amp;id=urn:contentItem:5F7T-S7B1-JCJ5-200C-00000-00&amp;context=" TargetMode="External" /><Relationship Id="rId149" Type="http://schemas.openxmlformats.org/officeDocument/2006/relationships/hyperlink" Target="https://advance.lexis.com/api/document?collection=cases-ca&amp;id=urn:contentItem:5F7T-S761-FFMK-M15W-00000-00&amp;context=" TargetMode="External" /><Relationship Id="rId15" Type="http://schemas.openxmlformats.org/officeDocument/2006/relationships/hyperlink" Target="https://advance.lexis.com/api/document?collection=cases-ca&amp;id=urn:contentItem:5F8P-SDD1-F65M-63PJ-00000-00&amp;context=" TargetMode="External" /><Relationship Id="rId150" Type="http://schemas.openxmlformats.org/officeDocument/2006/relationships/hyperlink" Target="https://advance.lexis.com/api/document?collection=cases-ca&amp;id=urn:contentItem:5F7T-S7G1-JPP5-21W3-00000-00&amp;context=" TargetMode="External" /><Relationship Id="rId151" Type="http://schemas.openxmlformats.org/officeDocument/2006/relationships/hyperlink" Target="https://advance.lexis.com/api/document?collection=cases-ca&amp;id=urn:contentItem:5F7T-S741-DXPM-S0R9-00000-00&amp;context=" TargetMode="External" /><Relationship Id="rId152" Type="http://schemas.openxmlformats.org/officeDocument/2006/relationships/hyperlink" Target="https://advance.lexis.com/api/document?collection=cases-ca&amp;id=urn:contentItem:5F7T-S7D1-JG02-S2XK-00000-00&amp;context=" TargetMode="External" /><Relationship Id="rId153" Type="http://schemas.openxmlformats.org/officeDocument/2006/relationships/hyperlink" Target="https://advance.lexis.com/api/document?collection=cases-ca&amp;id=urn:contentItem:5F7T-S711-JB2B-S0W5-00000-00&amp;context=" TargetMode="External" /><Relationship Id="rId154" Type="http://schemas.openxmlformats.org/officeDocument/2006/relationships/hyperlink" Target="https://advance.lexis.com/api/document?collection=cases-ca&amp;id=urn:contentItem:5F7T-S7F1-FFFC-B25Y-00000-00&amp;context=" TargetMode="External" /><Relationship Id="rId155" Type="http://schemas.openxmlformats.org/officeDocument/2006/relationships/hyperlink" Target="https://advance.lexis.com/api/document?collection=cases-ca&amp;id=urn:contentItem:5F7T-S771-F361-M1HH-00000-00&amp;context=" TargetMode="External" /><Relationship Id="rId156" Type="http://schemas.openxmlformats.org/officeDocument/2006/relationships/hyperlink" Target="https://advance.lexis.com/api/document?collection=cases-ca&amp;id=urn:contentItem:5F7T-S6X1-FJDY-X17B-00000-00&amp;context=" TargetMode="External" /><Relationship Id="rId157" Type="http://schemas.openxmlformats.org/officeDocument/2006/relationships/hyperlink" Target="https://advance.lexis.com/api/document?collection=cases-ca&amp;id=urn:contentItem:5F7T-S711-F4W2-61FJ-00000-00&amp;context=" TargetMode="External" /><Relationship Id="rId158" Type="http://schemas.openxmlformats.org/officeDocument/2006/relationships/hyperlink" Target="https://advance.lexis.com/api/document?collection=cases-ca&amp;id=urn:contentItem:5F7T-S711-JB2B-S0YN-00000-00&amp;context=" TargetMode="External" /><Relationship Id="rId159" Type="http://schemas.openxmlformats.org/officeDocument/2006/relationships/hyperlink" Target="https://advance.lexis.com/api/document?collection=cases-ca&amp;id=urn:contentItem:5F7T-S771-JW5H-X1TN-00000-00&amp;context=" TargetMode="External" /><Relationship Id="rId16" Type="http://schemas.openxmlformats.org/officeDocument/2006/relationships/hyperlink" Target="https://advance.lexis.com/api/document?collection=cases-ca&amp;id=urn:contentItem:5F7T-S761-JS5Y-B1P9-00000-00&amp;context=" TargetMode="External" /><Relationship Id="rId160" Type="http://schemas.openxmlformats.org/officeDocument/2006/relationships/hyperlink" Target="https://advance.lexis.com/api/document?collection=cases-ca&amp;id=urn:contentItem:5F7T-S7C1-F30T-B284-00000-00&amp;context=" TargetMode="External" /><Relationship Id="rId161" Type="http://schemas.openxmlformats.org/officeDocument/2006/relationships/hyperlink" Target="https://advance.lexis.com/api/document?collection=cases-ca&amp;id=urn:contentItem:5F7T-S721-F4NT-X2W2-00000-00&amp;context=" TargetMode="External" /><Relationship Id="rId162" Type="http://schemas.openxmlformats.org/officeDocument/2006/relationships/hyperlink" Target="https://advance.lexis.com/api/document?collection=cases-ca&amp;id=urn:contentItem:5F8T-N3V1-JF75-M3CS-00000-00&amp;context=" TargetMode="External" /><Relationship Id="rId163" Type="http://schemas.openxmlformats.org/officeDocument/2006/relationships/hyperlink" Target="https://advance.lexis.com/api/document?collection=cases-ca&amp;id=urn:contentItem:5F8T-N3T1-JFKM-650V-00000-00&amp;context=" TargetMode="External" /><Relationship Id="rId164" Type="http://schemas.openxmlformats.org/officeDocument/2006/relationships/hyperlink" Target="https://advance.lexis.com/api/document?collection=cases-ca&amp;id=urn:contentItem:5F7T-S751-FJDY-X3SJ-00000-00&amp;context=" TargetMode="External" /><Relationship Id="rId165" Type="http://schemas.openxmlformats.org/officeDocument/2006/relationships/hyperlink" Target="https://advance.lexis.com/api/document?collection=cases-ca&amp;id=urn:contentItem:5F7T-S781-F900-G0P8-00000-00&amp;context=" TargetMode="External" /><Relationship Id="rId166" Type="http://schemas.openxmlformats.org/officeDocument/2006/relationships/hyperlink" Target="https://advance.lexis.com/api/document?collection=cases-ca&amp;id=urn:contentItem:5F7T-S7J1-JNS1-M26W-00000-00&amp;context=" TargetMode="External" /><Relationship Id="rId167" Type="http://schemas.openxmlformats.org/officeDocument/2006/relationships/hyperlink" Target="https://advance.lexis.com/api/document?collection=cases-ca&amp;id=urn:contentItem:5F7T-S6T1-JP9P-G0TC-00000-00&amp;context=" TargetMode="External" /><Relationship Id="rId168" Type="http://schemas.openxmlformats.org/officeDocument/2006/relationships/hyperlink" Target="https://advance.lexis.com/api/document?collection=cases-ca&amp;id=urn:contentItem:5F7T-S7F1-JX3N-B1FJ-00000-00&amp;context=" TargetMode="External" /><Relationship Id="rId169" Type="http://schemas.openxmlformats.org/officeDocument/2006/relationships/hyperlink" Target="https://advance.lexis.com/api/document?collection=cases-ca&amp;id=urn:contentItem:5F7T-S721-F956-S1KT-00000-00&amp;context=" TargetMode="External" /><Relationship Id="rId17" Type="http://schemas.openxmlformats.org/officeDocument/2006/relationships/hyperlink" Target="https://advance.lexis.com/api/document?collection=cases-ca&amp;id=urn:contentItem:5F7T-S6X1-K0BB-S0MB-00000-00&amp;context=" TargetMode="External" /><Relationship Id="rId170" Type="http://schemas.openxmlformats.org/officeDocument/2006/relationships/hyperlink" Target="https://advance.lexis.com/api/document?collection=cases-ca&amp;id=urn:contentItem:5F7T-S731-JNJT-B1TG-00000-00&amp;context=" TargetMode="External" /><Relationship Id="rId171" Type="http://schemas.openxmlformats.org/officeDocument/2006/relationships/hyperlink" Target="https://advance.lexis.com/api/document?collection=cases-ca&amp;id=urn:contentItem:5F7T-S6X1-F7G6-61Y4-00000-00&amp;context=" TargetMode="External" /><Relationship Id="rId172" Type="http://schemas.openxmlformats.org/officeDocument/2006/relationships/hyperlink" Target="https://advance.lexis.com/api/document?collection=cases-ca&amp;id=urn:contentItem:5F7T-S721-F956-S1C3-00000-00&amp;context=" TargetMode="External" /><Relationship Id="rId173" Type="http://schemas.openxmlformats.org/officeDocument/2006/relationships/hyperlink" Target="https://advance.lexis.com/api/document?collection=cases-ca&amp;id=urn:contentItem:5F7T-S721-JSC5-M3MC-00000-00&amp;context=" TargetMode="External" /><Relationship Id="rId174" Type="http://schemas.openxmlformats.org/officeDocument/2006/relationships/hyperlink" Target="https://advance.lexis.com/api/document?collection=cases-ca&amp;id=urn:contentItem:5F7T-S761-JCBX-S0DC-00000-00&amp;context=" TargetMode="External" /><Relationship Id="rId175" Type="http://schemas.openxmlformats.org/officeDocument/2006/relationships/hyperlink" Target="https://advance.lexis.com/api/document?collection=cases-ca&amp;id=urn:contentItem:5F7T-S6X1-F06F-22VC-00000-00&amp;context=" TargetMode="External" /><Relationship Id="rId176" Type="http://schemas.openxmlformats.org/officeDocument/2006/relationships/hyperlink" Target="https://advance.lexis.com/api/document?collection=cases-ca&amp;id=urn:contentItem:5F81-YH21-JPGX-S039-00000-00&amp;context=" TargetMode="External" /><Relationship Id="rId177" Type="http://schemas.openxmlformats.org/officeDocument/2006/relationships/hyperlink" Target="https://advance.lexis.com/api/document?collection=cases-ca&amp;id=urn:contentItem:5F7T-S7F1-DXWW-24HR-00000-00&amp;context=" TargetMode="External" /><Relationship Id="rId178" Type="http://schemas.openxmlformats.org/officeDocument/2006/relationships/hyperlink" Target="https://advance.lexis.com/api/document?collection=cases-ca&amp;id=urn:contentItem:5F7T-S731-F1WF-M20V-00000-00&amp;context=" TargetMode="External" /><Relationship Id="rId179" Type="http://schemas.openxmlformats.org/officeDocument/2006/relationships/hyperlink" Target="https://advance.lexis.com/api/document?collection=cases-ca&amp;id=urn:contentItem:5F8P-T8T1-JT99-245N-00000-00&amp;context=" TargetMode="External" /><Relationship Id="rId18" Type="http://schemas.openxmlformats.org/officeDocument/2006/relationships/hyperlink" Target="https://advance.lexis.com/api/document?collection=cases-ca&amp;id=urn:contentItem:5F8N-K701-F528-G237-00000-00&amp;context=" TargetMode="External" /><Relationship Id="rId180" Type="http://schemas.openxmlformats.org/officeDocument/2006/relationships/hyperlink" Target="https://advance.lexis.com/api/document?collection=cases-ca&amp;id=urn:contentItem:5F8P-SBV1-JCBX-S53H-00000-00&amp;context=" TargetMode="External" /><Relationship Id="rId181" Type="http://schemas.openxmlformats.org/officeDocument/2006/relationships/hyperlink" Target="https://advance.lexis.com/api/document?collection=cases-ca&amp;id=urn:contentItem:5F8P-SBW1-F873-B4MM-00000-00&amp;context=" TargetMode="External" /><Relationship Id="rId182" Type="http://schemas.openxmlformats.org/officeDocument/2006/relationships/hyperlink" Target="https://advance.lexis.com/api/document?collection=cases-ca&amp;id=urn:contentItem:5F8N-K731-JS0R-246J-00000-00&amp;context=" TargetMode="External" /><Relationship Id="rId183" Type="http://schemas.openxmlformats.org/officeDocument/2006/relationships/hyperlink" Target="https://advance.lexis.com/api/document?collection=cases-ca&amp;id=urn:contentItem:5F8T-N3P1-FC6N-X1FR-00000-00&amp;context=" TargetMode="External" /><Relationship Id="rId184" Type="http://schemas.openxmlformats.org/officeDocument/2006/relationships/hyperlink" Target="https://advance.lexis.com/api/document?collection=cases-ca&amp;id=urn:contentItem:5F8T-N3P1-JYYX-60F2-00000-00&amp;context=" TargetMode="External" /><Relationship Id="rId185" Type="http://schemas.openxmlformats.org/officeDocument/2006/relationships/hyperlink" Target="https://advance.lexis.com/api/document?collection=cases-ca&amp;id=urn:contentItem:5F8T-N3P1-F81W-222N-00000-00&amp;context=" TargetMode="External" /><Relationship Id="rId186" Type="http://schemas.openxmlformats.org/officeDocument/2006/relationships/hyperlink" Target="https://advance.lexis.com/api/document?collection=cases-ca&amp;id=urn:contentItem:5F7T-S751-JGHR-M1SK-00000-00&amp;context=" TargetMode="External" /><Relationship Id="rId187" Type="http://schemas.openxmlformats.org/officeDocument/2006/relationships/hyperlink" Target="https://advance.lexis.com/api/document?collection=cases-ca&amp;id=urn:contentItem:5F81-VJT1-F8D9-M54S-00000-00&amp;context=" TargetMode="External" /><Relationship Id="rId188" Type="http://schemas.openxmlformats.org/officeDocument/2006/relationships/hyperlink" Target="https://advance.lexis.com/api/document?collection=cases-ca&amp;id=urn:contentItem:5F7T-S6R1-DXWW-22XK-00000-00&amp;context=" TargetMode="External" /><Relationship Id="rId189" Type="http://schemas.openxmlformats.org/officeDocument/2006/relationships/hyperlink" Target="https://advance.lexis.com/api/document?collection=cases-ca&amp;id=urn:contentItem:5F7T-S711-JNY7-X30N-00000-00&amp;context=" TargetMode="External" /><Relationship Id="rId19" Type="http://schemas.openxmlformats.org/officeDocument/2006/relationships/hyperlink" Target="https://advance.lexis.com/api/document?collection=cases-ca&amp;id=urn:contentItem:5F8T-N3T1-JFKM-6519-00000-00&amp;context=" TargetMode="External" /><Relationship Id="rId190" Type="http://schemas.openxmlformats.org/officeDocument/2006/relationships/hyperlink" Target="https://advance.lexis.com/api/document?collection=cases-ca&amp;id=urn:contentItem:5F7T-S6T1-F528-G0S4-00000-00&amp;context=" TargetMode="External" /><Relationship Id="rId191" Type="http://schemas.openxmlformats.org/officeDocument/2006/relationships/hyperlink" Target="https://advance.lexis.com/api/document?collection=cases-ca&amp;id=urn:contentItem:5F8W-M3X1-JYYX-617D-00000-00&amp;context=" TargetMode="External" /><Relationship Id="rId192" Type="http://schemas.openxmlformats.org/officeDocument/2006/relationships/hyperlink" Target="https://advance.lexis.com/api/document?collection=legislation-ca&amp;id=urn:contentItem:5F41-1FG1-FC1F-M0TW-00000-00&amp;context=" TargetMode="External" /><Relationship Id="rId193" Type="http://schemas.openxmlformats.org/officeDocument/2006/relationships/hyperlink" Target="https://advance.lexis.com/api/document?collection=cases-ca&amp;id=urn:contentItem:5F7T-S6W1-F5T5-M1XG-00000-00&amp;context=" TargetMode="External" /><Relationship Id="rId194" Type="http://schemas.openxmlformats.org/officeDocument/2006/relationships/hyperlink" Target="https://advance.lexis.com/api/document?collection=cases-ca&amp;id=urn:contentItem:5F7T-S6X1-K0BB-S0F0-00000-00&amp;context=" TargetMode="External" /><Relationship Id="rId195" Type="http://schemas.openxmlformats.org/officeDocument/2006/relationships/hyperlink" Target="https://advance.lexis.com/api/document?collection=cases-ca&amp;id=urn:contentItem:5F7T-S7C1-F7ND-G02F-00000-00&amp;context=" TargetMode="External" /><Relationship Id="rId196" Type="http://schemas.openxmlformats.org/officeDocument/2006/relationships/hyperlink" Target="https://advance.lexis.com/api/document?collection=cases-ca&amp;id=urn:contentItem:5F7T-S7F1-JBT7-X337-00000-00&amp;context=" TargetMode="External" /><Relationship Id="rId197" Type="http://schemas.openxmlformats.org/officeDocument/2006/relationships/hyperlink" Target="https://advance.lexis.com/api/document?collection=cases-ca&amp;id=urn:contentItem:5F7T-S7C1-JXG3-X03T-00000-00&amp;context=" TargetMode="External" /><Relationship Id="rId198" Type="http://schemas.openxmlformats.org/officeDocument/2006/relationships/header" Target="header19.xml" /><Relationship Id="rId199" Type="http://schemas.openxmlformats.org/officeDocument/2006/relationships/header" Target="header20.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71-JWBS-61TR-00000-00&amp;context=" TargetMode="External" /><Relationship Id="rId200" Type="http://schemas.openxmlformats.org/officeDocument/2006/relationships/footer" Target="footer19.xml" /><Relationship Id="rId201" Type="http://schemas.openxmlformats.org/officeDocument/2006/relationships/footer" Target="footer20.xml" /><Relationship Id="rId202" Type="http://schemas.openxmlformats.org/officeDocument/2006/relationships/header" Target="header21.xml" /><Relationship Id="rId203" Type="http://schemas.openxmlformats.org/officeDocument/2006/relationships/footer" Target="footer21.xml" /><Relationship Id="rId204" Type="http://schemas.openxmlformats.org/officeDocument/2006/relationships/hyperlink" Target="https://advance.lexis.com/api/document?collection=cases-ca&amp;id=urn:contentItem:5F7T-S7K1-DY33-B1DF-00000-00&amp;context=" TargetMode="External" /><Relationship Id="rId205" Type="http://schemas.openxmlformats.org/officeDocument/2006/relationships/hyperlink" Target="https://advance.lexis.com/api/document?collection=cases-ca&amp;id=urn:contentItem:5F7T-S7J1-JGBH-B273-00000-00&amp;context=" TargetMode="External" /><Relationship Id="rId206" Type="http://schemas.openxmlformats.org/officeDocument/2006/relationships/hyperlink" Target="https://advance.lexis.com/api/document?collection=cases-ca&amp;id=urn:contentItem:5F7T-S7H1-JCRC-B0RV-00000-00&amp;context=" TargetMode="External" /><Relationship Id="rId207" Type="http://schemas.openxmlformats.org/officeDocument/2006/relationships/hyperlink" Target="https://advance.lexis.com/api/document?collection=cases-ca&amp;id=urn:contentItem:5F7T-S7D1-JS5Y-B22N-00000-00&amp;context=" TargetMode="External" /><Relationship Id="rId208" Type="http://schemas.openxmlformats.org/officeDocument/2006/relationships/hyperlink" Target="https://advance.lexis.com/api/document?collection=cases-ca&amp;id=urn:contentItem:5F8T-N3T1-JFKM-655P-00000-00&amp;context=" TargetMode="External" /><Relationship Id="rId209" Type="http://schemas.openxmlformats.org/officeDocument/2006/relationships/hyperlink" Target="https://advance.lexis.com/api/document?collection=cases-ca&amp;id=urn:contentItem:5F81-VJX1-JP9P-G463-00000-00&amp;context=" TargetMode="External" /><Relationship Id="rId21" Type="http://schemas.openxmlformats.org/officeDocument/2006/relationships/hyperlink" Target="https://advance.lexis.com/api/document?collection=cases-ca&amp;id=urn:contentItem:5F7T-S781-F06F-23V8-00000-00&amp;context=" TargetMode="External" /><Relationship Id="rId210" Type="http://schemas.openxmlformats.org/officeDocument/2006/relationships/hyperlink" Target="https://advance.lexis.com/api/document?collection=cases-ca&amp;id=urn:contentItem:5F8T-N3T1-JJSF-2395-00000-00&amp;context=" TargetMode="External" /><Relationship Id="rId211" Type="http://schemas.openxmlformats.org/officeDocument/2006/relationships/hyperlink" Target="https://advance.lexis.com/api/document?collection=cases-ca&amp;id=urn:contentItem:5F7T-S771-JW5H-X1YB-00000-00&amp;context=" TargetMode="External" /><Relationship Id="rId212" Type="http://schemas.openxmlformats.org/officeDocument/2006/relationships/hyperlink" Target="https://advance.lexis.com/api/document?collection=cases-ca&amp;id=urn:contentItem:5F7T-S741-F57G-S205-00000-00&amp;context=" TargetMode="External" /><Relationship Id="rId213" Type="http://schemas.openxmlformats.org/officeDocument/2006/relationships/hyperlink" Target="https://advance.lexis.com/api/document?collection=cases-ca&amp;id=urn:contentItem:5F7T-S721-FG12-61Y9-00000-00&amp;context=" TargetMode="External" /><Relationship Id="rId214" Type="http://schemas.openxmlformats.org/officeDocument/2006/relationships/hyperlink" Target="https://advance.lexis.com/api/document?collection=cases-ca&amp;id=urn:contentItem:5F7T-S751-FJDY-X41B-00000-00&amp;context=" TargetMode="External" /><Relationship Id="rId215" Type="http://schemas.openxmlformats.org/officeDocument/2006/relationships/hyperlink" Target="https://advance.lexis.com/api/document?collection=cases-ca&amp;id=urn:contentItem:5F7T-S7H1-F016-S459-00000-00&amp;context=" TargetMode="External" /><Relationship Id="rId216" Type="http://schemas.openxmlformats.org/officeDocument/2006/relationships/hyperlink" Target="https://advance.lexis.com/api/document?collection=cases-ca&amp;id=urn:contentItem:5F7T-S7H1-JS5Y-B2XG-00000-00&amp;context=" TargetMode="External" /><Relationship Id="rId217" Type="http://schemas.openxmlformats.org/officeDocument/2006/relationships/hyperlink" Target="https://advance.lexis.com/api/document?collection=cases-ca&amp;id=urn:contentItem:5F7T-S7J1-DXWW-252W-00000-00&amp;context=" TargetMode="External" /><Relationship Id="rId218" Type="http://schemas.openxmlformats.org/officeDocument/2006/relationships/hyperlink" Target="https://advance.lexis.com/api/document?collection=cases-ca&amp;id=urn:contentItem:5F8T-N3T1-JJSF-23DJ-00000-00&amp;context=" TargetMode="External" /><Relationship Id="rId219" Type="http://schemas.openxmlformats.org/officeDocument/2006/relationships/hyperlink" Target="https://advance.lexis.com/api/document?collection=cases-ca&amp;id=urn:contentItem:5F8T-N3V1-FC1F-M41Y-00000-00&amp;context=" TargetMode="External" /><Relationship Id="rId22" Type="http://schemas.openxmlformats.org/officeDocument/2006/relationships/hyperlink" Target="https://advance.lexis.com/api/document?collection=cases-ca&amp;id=urn:contentItem:5F7T-S7B1-FH4C-X3R5-00000-00&amp;context=" TargetMode="External" /><Relationship Id="rId220" Type="http://schemas.openxmlformats.org/officeDocument/2006/relationships/hyperlink" Target="https://advance.lexis.com/api/document?collection=cases-ca&amp;id=urn:contentItem:5F81-VJX1-JJYN-B4KY-00000-00&amp;context=" TargetMode="External" /><Relationship Id="rId221" Type="http://schemas.openxmlformats.org/officeDocument/2006/relationships/hyperlink" Target="https://advance.lexis.com/api/document?collection=cases-ca&amp;id=urn:contentItem:5F81-VJX1-FD4T-B31P-00000-00&amp;context=" TargetMode="External" /><Relationship Id="rId222" Type="http://schemas.openxmlformats.org/officeDocument/2006/relationships/hyperlink" Target="https://advance.lexis.com/api/document?collection=cases-ca&amp;id=urn:contentItem:5F81-YGM1-JG02-S0YF-00000-00&amp;context=" TargetMode="External" /><Relationship Id="rId223" Type="http://schemas.openxmlformats.org/officeDocument/2006/relationships/hyperlink" Target="https://advance.lexis.com/api/document?collection=cases-ca&amp;id=urn:contentItem:5F81-YGH1-F1P7-B3FT-00000-00&amp;context=" TargetMode="External" /><Relationship Id="rId224" Type="http://schemas.openxmlformats.org/officeDocument/2006/relationships/hyperlink" Target="https://advance.lexis.com/api/document?collection=cases-ca&amp;id=urn:contentItem:5F8T-N3V1-FC1F-M469-00000-00&amp;context=" TargetMode="External" /><Relationship Id="rId225" Type="http://schemas.openxmlformats.org/officeDocument/2006/relationships/hyperlink" Target="https://advance.lexis.com/api/document?collection=cases-ca&amp;id=urn:contentItem:5F81-YGM1-JG02-S13T-00000-00&amp;context=" TargetMode="External" /><Relationship Id="rId226" Type="http://schemas.openxmlformats.org/officeDocument/2006/relationships/hyperlink" Target="https://advance.lexis.com/api/document?collection=cases-ca&amp;id=urn:contentItem:5F81-VJX1-FGY5-M3KS-00000-00&amp;context=" TargetMode="External" /><Relationship Id="rId227" Type="http://schemas.openxmlformats.org/officeDocument/2006/relationships/hyperlink" Target="https://advance.lexis.com/api/document?collection=cases-ca&amp;id=urn:contentItem:5F8P-SGB1-JKB3-X1FC-00000-00&amp;context=" TargetMode="External" /><Relationship Id="rId228" Type="http://schemas.openxmlformats.org/officeDocument/2006/relationships/hyperlink" Target="https://advance.lexis.com/api/document?collection=cases-ca&amp;id=urn:contentItem:5F7D-YK91-JTNR-M0DH-00000-00&amp;context=" TargetMode="External" /><Relationship Id="rId229" Type="http://schemas.openxmlformats.org/officeDocument/2006/relationships/hyperlink" Target="https://advance.lexis.com/api/document?collection=cases-ca&amp;id=urn:contentItem:5F81-VJW1-K0HK-22GP-00000-00&amp;context=" TargetMode="External" /><Relationship Id="rId23" Type="http://schemas.openxmlformats.org/officeDocument/2006/relationships/header" Target="header4.xml" /><Relationship Id="rId230" Type="http://schemas.openxmlformats.org/officeDocument/2006/relationships/hyperlink" Target="https://advance.lexis.com/api/document?collection=cases-ca&amp;id=urn:contentItem:5F7T-S6V1-F2TK-226W-00000-00&amp;context=" TargetMode="External" /><Relationship Id="rId231" Type="http://schemas.openxmlformats.org/officeDocument/2006/relationships/header" Target="header22.xml" /><Relationship Id="rId232" Type="http://schemas.openxmlformats.org/officeDocument/2006/relationships/header" Target="header23.xml" /><Relationship Id="rId233" Type="http://schemas.openxmlformats.org/officeDocument/2006/relationships/footer" Target="footer22.xml" /><Relationship Id="rId234" Type="http://schemas.openxmlformats.org/officeDocument/2006/relationships/footer" Target="footer23.xml" /><Relationship Id="rId235" Type="http://schemas.openxmlformats.org/officeDocument/2006/relationships/header" Target="header24.xml" /><Relationship Id="rId236" Type="http://schemas.openxmlformats.org/officeDocument/2006/relationships/footer" Target="footer24.xml" /><Relationship Id="rId237" Type="http://schemas.openxmlformats.org/officeDocument/2006/relationships/hyperlink" Target="https://advance.lexis.com/api/document?collection=cases-ca&amp;id=urn:contentItem:5F7T-S781-JC5P-G1PF-00000-00&amp;context=" TargetMode="External" /><Relationship Id="rId238" Type="http://schemas.openxmlformats.org/officeDocument/2006/relationships/hyperlink" Target="https://advance.lexis.com/api/document?collection=legislation-ca&amp;id=urn:contentItem:5F3B-B8K1-F81W-21YS-00000-00&amp;context=" TargetMode="External" /><Relationship Id="rId239" Type="http://schemas.openxmlformats.org/officeDocument/2006/relationships/hyperlink" Target="https://advance.lexis.com/api/document?collection=legislation-ca&amp;id=urn:contentItem:5VYK-WB51-JW09-M4VW-00000-00&amp;context=" TargetMode="External" /><Relationship Id="rId24" Type="http://schemas.openxmlformats.org/officeDocument/2006/relationships/header" Target="header5.xml" /><Relationship Id="rId240" Type="http://schemas.openxmlformats.org/officeDocument/2006/relationships/hyperlink" Target="https://advance.lexis.com/api/document?collection=cases-ca&amp;id=urn:contentItem:5F8T-N3T1-JJSF-236M-00000-00&amp;context=" TargetMode="External" /><Relationship Id="rId241" Type="http://schemas.openxmlformats.org/officeDocument/2006/relationships/hyperlink" Target="https://advance.lexis.com/api/document?collection=cases-ca&amp;id=urn:contentItem:5F8T-N3T1-JGHR-M1TV-00000-00&amp;context=" TargetMode="External" /><Relationship Id="rId242" Type="http://schemas.openxmlformats.org/officeDocument/2006/relationships/hyperlink" Target="https://advance.lexis.com/api/document?collection=cases-ca&amp;id=urn:contentItem:5F7T-S741-DXPM-S0XM-00000-00&amp;context=" TargetMode="External" /><Relationship Id="rId243" Type="http://schemas.openxmlformats.org/officeDocument/2006/relationships/hyperlink" Target="https://advance.lexis.com/api/document?collection=cases-ca&amp;id=urn:contentItem:5F7T-S771-F2TK-233G-00000-00&amp;context=" TargetMode="External" /><Relationship Id="rId244" Type="http://schemas.openxmlformats.org/officeDocument/2006/relationships/hyperlink" Target="https://advance.lexis.com/api/document?collection=cases-ca&amp;id=urn:contentItem:5F8T-N3T1-JJSF-23NY-00000-00&amp;context=" TargetMode="External" /><Relationship Id="rId245" Type="http://schemas.openxmlformats.org/officeDocument/2006/relationships/hyperlink" Target="https://advance.lexis.com/api/document?collection=cases-ca&amp;id=urn:contentItem:5F8T-N3V1-FC1F-M40S-00000-00&amp;context=" TargetMode="External" /><Relationship Id="rId246" Type="http://schemas.openxmlformats.org/officeDocument/2006/relationships/hyperlink" Target="https://advance.lexis.com/api/document?collection=cases-ca&amp;id=urn:contentItem:5F8T-N3S1-JBDT-B091-00000-00&amp;context=" TargetMode="External" /><Relationship Id="rId247" Type="http://schemas.openxmlformats.org/officeDocument/2006/relationships/hyperlink" Target="https://advance.lexis.com/api/document?collection=cases-ca&amp;id=urn:contentItem:5F8T-N3V1-JF75-M39W-00000-00&amp;context=" TargetMode="External" /><Relationship Id="rId248" Type="http://schemas.openxmlformats.org/officeDocument/2006/relationships/hyperlink" Target="https://advance.lexis.com/api/document?collection=cases-ca&amp;id=urn:contentItem:5F8T-N3V1-JFKM-6000-00000-00&amp;context=" TargetMode="External" /><Relationship Id="rId249" Type="http://schemas.openxmlformats.org/officeDocument/2006/relationships/hyperlink" Target="https://advance.lexis.com/api/document?collection=cases-ca&amp;id=urn:contentItem:5F8T-N3T1-JGHR-M29X-00000-00&amp;context=" TargetMode="External" /><Relationship Id="rId25" Type="http://schemas.openxmlformats.org/officeDocument/2006/relationships/footer" Target="footer4.xml" /><Relationship Id="rId250" Type="http://schemas.openxmlformats.org/officeDocument/2006/relationships/hyperlink" Target="https://advance.lexis.com/api/document?collection=cases-ca&amp;id=urn:contentItem:5F8T-N3T1-JJSF-2374-00000-00&amp;context=" TargetMode="External" /><Relationship Id="rId251" Type="http://schemas.openxmlformats.org/officeDocument/2006/relationships/hyperlink" Target="https://advance.lexis.com/api/document?collection=cases-ca&amp;id=urn:contentItem:5F8T-N3V1-JF75-M3PV-00000-00&amp;context=" TargetMode="External" /><Relationship Id="rId252" Type="http://schemas.openxmlformats.org/officeDocument/2006/relationships/hyperlink" Target="https://advance.lexis.com/api/document?collection=cases-ca&amp;id=urn:contentItem:5F7T-S771-F361-M1PV-00000-00&amp;context=" TargetMode="External" /><Relationship Id="rId253" Type="http://schemas.openxmlformats.org/officeDocument/2006/relationships/hyperlink" Target="https://advance.lexis.com/api/document?collection=cases-ca&amp;id=urn:contentItem:5F7T-XPW1-F65M-62S2-00000-00&amp;context=" TargetMode="External" /><Relationship Id="rId254" Type="http://schemas.openxmlformats.org/officeDocument/2006/relationships/hyperlink" Target="https://advance.lexis.com/api/document?collection=cases-ca&amp;id=urn:contentItem:5F7T-S6W1-F7ND-G2RF-00000-00&amp;context=" TargetMode="External" /><Relationship Id="rId255" Type="http://schemas.openxmlformats.org/officeDocument/2006/relationships/hyperlink" Target="https://advance.lexis.com/api/document?collection=cases-ca&amp;id=urn:contentItem:5F7T-S781-FH4C-X30F-00000-00&amp;context=" TargetMode="External" /><Relationship Id="rId256" Type="http://schemas.openxmlformats.org/officeDocument/2006/relationships/header" Target="header25.xml" /><Relationship Id="rId257" Type="http://schemas.openxmlformats.org/officeDocument/2006/relationships/header" Target="header26.xml" /><Relationship Id="rId258" Type="http://schemas.openxmlformats.org/officeDocument/2006/relationships/footer" Target="footer25.xml" /><Relationship Id="rId259" Type="http://schemas.openxmlformats.org/officeDocument/2006/relationships/footer" Target="footer26.xml" /><Relationship Id="rId26" Type="http://schemas.openxmlformats.org/officeDocument/2006/relationships/footer" Target="footer5.xml" /><Relationship Id="rId260" Type="http://schemas.openxmlformats.org/officeDocument/2006/relationships/header" Target="header27.xml" /><Relationship Id="rId261" Type="http://schemas.openxmlformats.org/officeDocument/2006/relationships/footer" Target="footer27.xml" /><Relationship Id="rId262" Type="http://schemas.openxmlformats.org/officeDocument/2006/relationships/hyperlink" Target="https://advance.lexis.com/api/document?collection=cases-ca&amp;id=urn:contentItem:5F7T-S7D1-JG02-S2NX-00000-00&amp;context=" TargetMode="External" /><Relationship Id="rId263" Type="http://schemas.openxmlformats.org/officeDocument/2006/relationships/hyperlink" Target="https://advance.lexis.com/api/document?collection=cases-ca&amp;id=urn:contentItem:5F7T-S721-F06F-2330-00000-00&amp;context=" TargetMode="External" /><Relationship Id="rId264" Type="http://schemas.openxmlformats.org/officeDocument/2006/relationships/hyperlink" Target="https://advance.lexis.com/api/document?collection=cases-ca&amp;id=urn:contentItem:5F8P-SCC1-FGCG-S2FT-00000-00&amp;context=" TargetMode="External" /><Relationship Id="rId265" Type="http://schemas.openxmlformats.org/officeDocument/2006/relationships/hyperlink" Target="https://advance.lexis.com/api/document?collection=cases-ca&amp;id=urn:contentItem:5F8T-N3V1-FC1F-M3WB-00000-00&amp;context=" TargetMode="External" /><Relationship Id="rId266" Type="http://schemas.openxmlformats.org/officeDocument/2006/relationships/hyperlink" Target="https://advance.lexis.com/api/document?collection=cases-ca&amp;id=urn:contentItem:5F7T-S771-JJD0-G15W-00000-00&amp;context=" TargetMode="External" /><Relationship Id="rId267" Type="http://schemas.openxmlformats.org/officeDocument/2006/relationships/hyperlink" Target="https://advance.lexis.com/api/document?collection=cases-ca&amp;id=urn:contentItem:5F7T-S7B1-F7ND-G55W-00000-00&amp;context=" TargetMode="External" /><Relationship Id="rId268" Type="http://schemas.openxmlformats.org/officeDocument/2006/relationships/hyperlink" Target="https://advance.lexis.com/api/document?collection=cases-ca&amp;id=urn:contentItem:5F7T-S7D1-FC6N-X0JC-00000-00&amp;context=" TargetMode="External" /><Relationship Id="rId269" Type="http://schemas.openxmlformats.org/officeDocument/2006/relationships/hyperlink" Target="https://advance.lexis.com/api/document?collection=cases-ca&amp;id=urn:contentItem:5F8T-N3T1-JJSF-23P9-00000-00&amp;context=" TargetMode="External" /><Relationship Id="rId27" Type="http://schemas.openxmlformats.org/officeDocument/2006/relationships/header" Target="header6.xml" /><Relationship Id="rId270" Type="http://schemas.openxmlformats.org/officeDocument/2006/relationships/hyperlink" Target="https://advance.lexis.com/api/document?collection=cases-ca&amp;id=urn:contentItem:5F7T-S7D1-DY89-M474-00000-00&amp;context=" TargetMode="External" /><Relationship Id="rId271" Type="http://schemas.openxmlformats.org/officeDocument/2006/relationships/hyperlink" Target="https://advance.lexis.com/api/document?collection=cases-ca&amp;id=urn:contentItem:5F7T-S781-F900-G0SS-00000-00&amp;context=" TargetMode="External" /><Relationship Id="rId272" Type="http://schemas.openxmlformats.org/officeDocument/2006/relationships/header" Target="header28.xml" /><Relationship Id="rId273" Type="http://schemas.openxmlformats.org/officeDocument/2006/relationships/header" Target="header29.xml" /><Relationship Id="rId274" Type="http://schemas.openxmlformats.org/officeDocument/2006/relationships/footer" Target="footer28.xml" /><Relationship Id="rId275" Type="http://schemas.openxmlformats.org/officeDocument/2006/relationships/footer" Target="footer29.xml" /><Relationship Id="rId276" Type="http://schemas.openxmlformats.org/officeDocument/2006/relationships/header" Target="header30.xml" /><Relationship Id="rId277" Type="http://schemas.openxmlformats.org/officeDocument/2006/relationships/footer" Target="footer30.xml" /><Relationship Id="rId278" Type="http://schemas.openxmlformats.org/officeDocument/2006/relationships/hyperlink" Target="https://advance.lexis.com/api/document?collection=cases-ca&amp;id=urn:contentItem:5F7T-S7F1-FFFC-B1YP-00000-00&amp;context=" TargetMode="External" /><Relationship Id="rId279" Type="http://schemas.openxmlformats.org/officeDocument/2006/relationships/hyperlink" Target="https://advance.lexis.com/api/document?collection=legislation-ca&amp;id=urn:contentItem:5F41-1FM1-FJM6-61V3-00000-00&amp;context=" TargetMode="External" /><Relationship Id="rId28" Type="http://schemas.openxmlformats.org/officeDocument/2006/relationships/footer" Target="footer6.xml" /><Relationship Id="rId280" Type="http://schemas.openxmlformats.org/officeDocument/2006/relationships/hyperlink" Target="https://advance.lexis.com/api/document?collection=legislation-ca&amp;id=urn:contentItem:5F97-RC01-JSRM-616P-00000-00&amp;context=" TargetMode="External" /><Relationship Id="rId281" Type="http://schemas.openxmlformats.org/officeDocument/2006/relationships/hyperlink" Target="https://advance.lexis.com/api/document?collection=legislation-ca&amp;id=urn:contentItem:5W2C-X5N1-FBV7-B019-00000-00&amp;context=" TargetMode="External" /><Relationship Id="rId282" Type="http://schemas.openxmlformats.org/officeDocument/2006/relationships/hyperlink" Target="https://advance.lexis.com/api/document?collection=legislation-ca&amp;id=urn:contentItem:5F41-1FG1-JJYN-B01K-00000-00&amp;context=" TargetMode="External" /><Relationship Id="rId283" Type="http://schemas.openxmlformats.org/officeDocument/2006/relationships/hyperlink" Target="https://advance.lexis.com/api/document?collection=cases-ca&amp;id=urn:contentItem:5F7T-S751-F361-M14V-00000-00&amp;context=" TargetMode="External" /><Relationship Id="rId284" Type="http://schemas.openxmlformats.org/officeDocument/2006/relationships/hyperlink" Target="https://advance.lexis.com/api/document?collection=cases-ca&amp;id=urn:contentItem:5F8T-N3V1-FC1F-M3X1-00000-00&amp;context=" TargetMode="External" /><Relationship Id="rId285" Type="http://schemas.openxmlformats.org/officeDocument/2006/relationships/hyperlink" Target="https://advance.lexis.com/api/document?collection=cases-ca&amp;id=urn:contentItem:5F7T-S721-FG12-626W-00000-00&amp;context=" TargetMode="External" /><Relationship Id="rId286" Type="http://schemas.openxmlformats.org/officeDocument/2006/relationships/hyperlink" Target="https://advance.lexis.com/api/document?collection=cases-ca&amp;id=urn:contentItem:5F8T-N3V1-FC1F-M42R-00000-00&amp;context=" TargetMode="External" /><Relationship Id="rId287" Type="http://schemas.openxmlformats.org/officeDocument/2006/relationships/hyperlink" Target="https://advance.lexis.com/api/document?collection=cases-ca&amp;id=urn:contentItem:5F8T-N3T1-JJSF-238M-00000-00&amp;context=" TargetMode="External" /><Relationship Id="rId288" Type="http://schemas.openxmlformats.org/officeDocument/2006/relationships/hyperlink" Target="https://advance.lexis.com/api/document?collection=cases-ca&amp;id=urn:contentItem:5F7T-S7D1-JS5Y-B25X-00000-00&amp;context=" TargetMode="External" /><Relationship Id="rId289" Type="http://schemas.openxmlformats.org/officeDocument/2006/relationships/hyperlink" Target="https://advance.lexis.com/api/document?collection=cases-ca&amp;id=urn:contentItem:5F8T-N3V1-FC1F-M4FX-00000-00&amp;context=" TargetMode="External" /><Relationship Id="rId29" Type="http://schemas.openxmlformats.org/officeDocument/2006/relationships/hyperlink" Target="https://advance.lexis.com/api/document?collection=cases-ca&amp;id=urn:contentItem:5F7T-S7N1-JJ1H-X2YH-00000-00&amp;context=" TargetMode="External" /><Relationship Id="rId290" Type="http://schemas.openxmlformats.org/officeDocument/2006/relationships/hyperlink" Target="https://advance.lexis.com/api/document?collection=cases-ca&amp;id=urn:contentItem:5F8T-N3V1-FC1F-M4FW-00000-00&amp;context=" TargetMode="External" /><Relationship Id="rId291" Type="http://schemas.openxmlformats.org/officeDocument/2006/relationships/hyperlink" Target="https://advance.lexis.com/api/document?collection=cases-ca&amp;id=urn:contentItem:5F8T-N3V1-FC1F-M3YP-00000-00&amp;context=" TargetMode="External" /><Relationship Id="rId292" Type="http://schemas.openxmlformats.org/officeDocument/2006/relationships/header" Target="header31.xml" /><Relationship Id="rId293" Type="http://schemas.openxmlformats.org/officeDocument/2006/relationships/header" Target="header32.xml" /><Relationship Id="rId294" Type="http://schemas.openxmlformats.org/officeDocument/2006/relationships/footer" Target="footer31.xml" /><Relationship Id="rId295" Type="http://schemas.openxmlformats.org/officeDocument/2006/relationships/footer" Target="footer32.xml" /><Relationship Id="rId296" Type="http://schemas.openxmlformats.org/officeDocument/2006/relationships/header" Target="header33.xml" /><Relationship Id="rId297" Type="http://schemas.openxmlformats.org/officeDocument/2006/relationships/footer" Target="footer33.xml" /><Relationship Id="rId298" Type="http://schemas.openxmlformats.org/officeDocument/2006/relationships/hyperlink" Target="https://advance.lexis.com/api/document?collection=cases-ca&amp;id=urn:contentItem:5F7T-S7J1-JYYX-6274-00000-00&amp;context=" TargetMode="External" /><Relationship Id="rId299" Type="http://schemas.openxmlformats.org/officeDocument/2006/relationships/hyperlink" Target="https://advance.lexis.com/api/document?collection=cases-ca&amp;id=urn:contentItem:5F7T-S7J1-FGCG-S0G5-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legislation-ca&amp;id=urn:contentItem:5F41-1FG1-JC0G-61TM-00000-00&amp;context=" TargetMode="External" /><Relationship Id="rId300" Type="http://schemas.openxmlformats.org/officeDocument/2006/relationships/hyperlink" Target="https://advance.lexis.com/api/document?collection=cases-ca&amp;id=urn:contentItem:5F7T-S7C1-F4NT-X38R-00000-00&amp;context=" TargetMode="External" /><Relationship Id="rId301" Type="http://schemas.openxmlformats.org/officeDocument/2006/relationships/hyperlink" Target="https://advance.lexis.com/api/document?collection=cases-ca&amp;id=urn:contentItem:5F7T-S771-JJD0-G19X-00000-00&amp;context=" TargetMode="External" /><Relationship Id="rId302" Type="http://schemas.openxmlformats.org/officeDocument/2006/relationships/hyperlink" Target="https://advance.lexis.com/api/document?collection=cases-ca&amp;id=urn:contentItem:5F7T-S6W1-FBFS-S0YT-00000-00&amp;context=" TargetMode="External" /><Relationship Id="rId303" Type="http://schemas.openxmlformats.org/officeDocument/2006/relationships/hyperlink" Target="https://advance.lexis.com/api/document?collection=legislation-ca&amp;id=urn:contentItem:5VYK-WB11-FFTT-X0V8-00000-00&amp;context=" TargetMode="External" /><Relationship Id="rId304" Type="http://schemas.openxmlformats.org/officeDocument/2006/relationships/hyperlink" Target="https://advance.lexis.com/api/document?collection=legislation-ca&amp;id=urn:contentItem:5VYK-W9W1-JWBS-64Y3-00000-00&amp;context=" TargetMode="External" /><Relationship Id="rId305" Type="http://schemas.openxmlformats.org/officeDocument/2006/relationships/hyperlink" Target="https://advance.lexis.com/api/document?collection=legislation-ca&amp;id=urn:contentItem:5F41-1FN1-JSXV-G1GJ-00000-00&amp;context=" TargetMode="External" /><Relationship Id="rId306" Type="http://schemas.openxmlformats.org/officeDocument/2006/relationships/header" Target="header34.xml" /><Relationship Id="rId307" Type="http://schemas.openxmlformats.org/officeDocument/2006/relationships/header" Target="header35.xml" /><Relationship Id="rId308" Type="http://schemas.openxmlformats.org/officeDocument/2006/relationships/footer" Target="footer34.xml" /><Relationship Id="rId309" Type="http://schemas.openxmlformats.org/officeDocument/2006/relationships/footer" Target="footer35.xml" /><Relationship Id="rId31" Type="http://schemas.openxmlformats.org/officeDocument/2006/relationships/hyperlink" Target="https://advance.lexis.com/api/document?collection=legislation-ca&amp;id=urn:contentItem:5MS4-PW61-DYV0-G06J-00000-00&amp;context=" TargetMode="External" /><Relationship Id="rId310" Type="http://schemas.openxmlformats.org/officeDocument/2006/relationships/header" Target="header36.xml" /><Relationship Id="rId311" Type="http://schemas.openxmlformats.org/officeDocument/2006/relationships/footer" Target="footer36.xml" /><Relationship Id="rId312" Type="http://schemas.openxmlformats.org/officeDocument/2006/relationships/hyperlink" Target="https://advance.lexis.com/api/document?collection=cases-ca&amp;id=urn:contentItem:5F7T-S7K1-DY33-B1SS-00000-00&amp;context=" TargetMode="External" /><Relationship Id="rId313" Type="http://schemas.openxmlformats.org/officeDocument/2006/relationships/hyperlink" Target="https://advance.lexis.com/api/document?collection=legislation-ca&amp;id=urn:contentItem:5F41-1FM1-FGJR-215M-00000-00&amp;context=" TargetMode="External" /><Relationship Id="rId314" Type="http://schemas.openxmlformats.org/officeDocument/2006/relationships/hyperlink" Target="https://advance.lexis.com/api/document?collection=legislation-ca&amp;id=urn:contentItem:5Y0H-DTV1-JJ1H-X43T-00000-00&amp;context=" TargetMode="External" /><Relationship Id="rId315" Type="http://schemas.openxmlformats.org/officeDocument/2006/relationships/hyperlink" Target="https://advance.lexis.com/api/document?collection=legislation-ca&amp;id=urn:contentItem:5F41-1FG1-JC0G-61TJ-00000-00&amp;context=" TargetMode="External" /><Relationship Id="rId316" Type="http://schemas.openxmlformats.org/officeDocument/2006/relationships/hyperlink" Target="https://advance.lexis.com/api/document?collection=cases-ca&amp;id=urn:contentItem:5F81-YH41-JX8W-M003-00000-00&amp;context=" TargetMode="External" /><Relationship Id="rId317" Type="http://schemas.openxmlformats.org/officeDocument/2006/relationships/hyperlink" Target="https://advance.lexis.com/api/document?collection=cases-ca&amp;id=urn:contentItem:5F81-YGH1-F1P7-B39W-00000-00&amp;context=" TargetMode="External" /><Relationship Id="rId318" Type="http://schemas.openxmlformats.org/officeDocument/2006/relationships/hyperlink" Target="https://advance.lexis.com/api/document?collection=cases-ca&amp;id=urn:contentItem:5F7T-S7K1-F1H1-2238-00000-00&amp;context=" TargetMode="External" /><Relationship Id="rId319" Type="http://schemas.openxmlformats.org/officeDocument/2006/relationships/hyperlink" Target="https://advance.lexis.com/api/document?collection=cases-ca&amp;id=urn:contentItem:5F7T-S6T1-F8KH-X0N0-00000-00&amp;context=" TargetMode="External" /><Relationship Id="rId32" Type="http://schemas.openxmlformats.org/officeDocument/2006/relationships/hyperlink" Target="https://advance.lexis.com/api/document?collection=cases-ca&amp;id=urn:contentItem:5F8T-N3S1-JT99-2530-00000-00&amp;context=" TargetMode="External" /><Relationship Id="rId320" Type="http://schemas.openxmlformats.org/officeDocument/2006/relationships/hyperlink" Target="https://advance.lexis.com/api/document?collection=cases-ca&amp;id=urn:contentItem:5F7T-S6W1-F7ND-G2GR-00000-00&amp;context=" TargetMode="External" /><Relationship Id="rId321" Type="http://schemas.openxmlformats.org/officeDocument/2006/relationships/hyperlink" Target="https://advance.lexis.com/api/document?collection=cases-ca&amp;id=urn:contentItem:5F8T-N3S1-JT99-254B-00000-00&amp;context=" TargetMode="External" /><Relationship Id="rId322" Type="http://schemas.openxmlformats.org/officeDocument/2006/relationships/hyperlink" Target="https://advance.lexis.com/api/document?collection=cases-ca&amp;id=urn:contentItem:5F7T-S6W1-JF75-M32S-00000-00&amp;context=" TargetMode="External" /><Relationship Id="rId323" Type="http://schemas.openxmlformats.org/officeDocument/2006/relationships/hyperlink" Target="https://advance.lexis.com/api/document?collection=cases-ca&amp;id=urn:contentItem:5F8T-N3T1-JGHR-M1XV-00000-00&amp;context=" TargetMode="External" /><Relationship Id="rId324" Type="http://schemas.openxmlformats.org/officeDocument/2006/relationships/hyperlink" Target="https://advance.lexis.com/api/document?collection=legislation-ca&amp;id=urn:contentItem:5W2C-X5M1-JX3N-B3PH-00000-00&amp;context=" TargetMode="External" /><Relationship Id="rId325" Type="http://schemas.openxmlformats.org/officeDocument/2006/relationships/header" Target="header37.xml" /><Relationship Id="rId326" Type="http://schemas.openxmlformats.org/officeDocument/2006/relationships/header" Target="header38.xml" /><Relationship Id="rId327" Type="http://schemas.openxmlformats.org/officeDocument/2006/relationships/footer" Target="footer37.xml" /><Relationship Id="rId328" Type="http://schemas.openxmlformats.org/officeDocument/2006/relationships/footer" Target="footer38.xml" /><Relationship Id="rId329" Type="http://schemas.openxmlformats.org/officeDocument/2006/relationships/header" Target="header39.xml" /><Relationship Id="rId33" Type="http://schemas.openxmlformats.org/officeDocument/2006/relationships/hyperlink" Target="https://advance.lexis.com/api/document?collection=cases-ca&amp;id=urn:contentItem:5F7T-S7C1-F7VM-S3K4-00000-00&amp;context=" TargetMode="External" /><Relationship Id="rId330" Type="http://schemas.openxmlformats.org/officeDocument/2006/relationships/footer" Target="footer39.xml" /><Relationship Id="rId331" Type="http://schemas.openxmlformats.org/officeDocument/2006/relationships/hyperlink" Target="https://advance.lexis.com/api/document?collection=cases-ca&amp;id=urn:contentItem:5F7T-S7N1-JW09-M0MC-00000-00&amp;context=" TargetMode="External" /><Relationship Id="rId332" Type="http://schemas.openxmlformats.org/officeDocument/2006/relationships/hyperlink" Target="https://advance.lexis.com/api/document?collection=legislation-ca&amp;id=urn:contentItem:5F3B-B7K1-DY89-M27T-00000-00&amp;context=" TargetMode="External" /><Relationship Id="rId333" Type="http://schemas.openxmlformats.org/officeDocument/2006/relationships/hyperlink" Target="https://advance.lexis.com/api/document?collection=legislation-ca&amp;id=urn:contentItem:5F41-1FJ1-JPGX-S0R7-00000-00&amp;context=" TargetMode="External" /><Relationship Id="rId334" Type="http://schemas.openxmlformats.org/officeDocument/2006/relationships/hyperlink" Target="https://advance.lexis.com/api/document?collection=cases-ca&amp;id=urn:contentItem:5F7T-S7M1-JNCK-228D-00000-00&amp;context=" TargetMode="External" /><Relationship Id="rId335" Type="http://schemas.openxmlformats.org/officeDocument/2006/relationships/hyperlink" Target="https://advance.lexis.com/api/document?collection=cases-ca&amp;id=urn:contentItem:5F7T-S7D1-DY89-M3VD-00000-00&amp;context=" TargetMode="External" /><Relationship Id="rId336" Type="http://schemas.openxmlformats.org/officeDocument/2006/relationships/hyperlink" Target="https://advance.lexis.com/api/document?collection=cases-ca&amp;id=urn:contentItem:5F7T-S711-F5KY-B10P-00000-00&amp;context=" TargetMode="External" /><Relationship Id="rId337" Type="http://schemas.openxmlformats.org/officeDocument/2006/relationships/hyperlink" Target="https://advance.lexis.com/api/document?collection=cases-ca&amp;id=urn:contentItem:5F7T-S7D1-FC6N-X0YM-00000-00&amp;context=" TargetMode="External" /><Relationship Id="rId338" Type="http://schemas.openxmlformats.org/officeDocument/2006/relationships/hyperlink" Target="https://advance.lexis.com/api/document?collection=cases-ca&amp;id=urn:contentItem:5F7T-S7F1-FJTD-G3FY-00000-00&amp;context=" TargetMode="External" /><Relationship Id="rId339" Type="http://schemas.openxmlformats.org/officeDocument/2006/relationships/hyperlink" Target="https://advance.lexis.com/api/document?collection=cases-ca&amp;id=urn:contentItem:5F7T-S7J1-JYYX-627J-00000-00&amp;context=" TargetMode="External" /><Relationship Id="rId34" Type="http://schemas.openxmlformats.org/officeDocument/2006/relationships/hyperlink" Target="https://advance.lexis.com/api/document?collection=cases-ca&amp;id=urn:contentItem:5F8T-N3V1-JFKM-60B0-00000-00&amp;context=" TargetMode="External" /><Relationship Id="rId340" Type="http://schemas.openxmlformats.org/officeDocument/2006/relationships/hyperlink" Target="https://advance.lexis.com/api/document?collection=cases-ca&amp;id=urn:contentItem:5F7T-S7M1-JCRC-B1T0-00000-00&amp;context=" TargetMode="External" /><Relationship Id="rId341" Type="http://schemas.openxmlformats.org/officeDocument/2006/relationships/hyperlink" Target="https://advance.lexis.com/api/document?collection=cases-ca&amp;id=urn:contentItem:5F7T-S701-JK4W-M10F-00000-00&amp;context=" TargetMode="External" /><Relationship Id="rId342" Type="http://schemas.openxmlformats.org/officeDocument/2006/relationships/hyperlink" Target="https://advance.lexis.com/api/document?collection=cases-ca&amp;id=urn:contentItem:5F7T-S7N1-JC5P-G222-00000-00&amp;context=" TargetMode="External" /><Relationship Id="rId343" Type="http://schemas.openxmlformats.org/officeDocument/2006/relationships/hyperlink" Target="https://advance.lexis.com/api/document?collection=cases-ca&amp;id=urn:contentItem:5F7T-S7H1-JFSV-G36Y-00000-00&amp;context=" TargetMode="External" /><Relationship Id="rId344" Type="http://schemas.openxmlformats.org/officeDocument/2006/relationships/hyperlink" Target="https://advance.lexis.com/api/document?collection=cases-ca&amp;id=urn:contentItem:5F7T-S7M1-JCRC-B1RP-00000-00&amp;context=" TargetMode="External" /><Relationship Id="rId345" Type="http://schemas.openxmlformats.org/officeDocument/2006/relationships/hyperlink" Target="https://advance.lexis.com/api/document?collection=cases-ca&amp;id=urn:contentItem:5F7T-S781-DYMS-61GK-00000-00&amp;context=" TargetMode="External" /><Relationship Id="rId346" Type="http://schemas.openxmlformats.org/officeDocument/2006/relationships/hyperlink" Target="https://advance.lexis.com/api/document?collection=cases-ca&amp;id=urn:contentItem:5F8T-N3V1-FC1F-M428-00000-00&amp;context=" TargetMode="External" /><Relationship Id="rId347" Type="http://schemas.openxmlformats.org/officeDocument/2006/relationships/hyperlink" Target="https://advance.lexis.com/api/document?collection=cases-ca&amp;id=urn:contentItem:5F7T-S7D1-DY89-M44N-00000-00&amp;context=" TargetMode="External" /><Relationship Id="rId348" Type="http://schemas.openxmlformats.org/officeDocument/2006/relationships/hyperlink" Target="https://advance.lexis.com/api/document?collection=cases-ca&amp;id=urn:contentItem:5F8T-N3V1-FH4C-X1XK-00000-00&amp;context=" TargetMode="External" /><Relationship Id="rId349" Type="http://schemas.openxmlformats.org/officeDocument/2006/relationships/hyperlink" Target="https://advance.lexis.com/api/document?collection=cases-ca&amp;id=urn:contentItem:5F7T-S6T1-FJTD-G1P3-00000-00&amp;context=" TargetMode="External" /><Relationship Id="rId35" Type="http://schemas.openxmlformats.org/officeDocument/2006/relationships/hyperlink" Target="https://advance.lexis.com/api/document?collection=cases-ca&amp;id=urn:contentItem:5F7T-S7J1-FGCG-S0JM-00000-00&amp;context=" TargetMode="External" /><Relationship Id="rId350" Type="http://schemas.openxmlformats.org/officeDocument/2006/relationships/hyperlink" Target="https://advance.lexis.com/api/document?collection=cases-ca&amp;id=urn:contentItem:5F8T-N3T1-JJSF-23FJ-00000-00&amp;context=" TargetMode="External" /><Relationship Id="rId351" Type="http://schemas.openxmlformats.org/officeDocument/2006/relationships/hyperlink" Target="https://advance.lexis.com/api/document?collection=cases-ca&amp;id=urn:contentItem:5F16-9301-JX3N-B4C2-00000-00&amp;context=" TargetMode="External" /><Relationship Id="rId352" Type="http://schemas.openxmlformats.org/officeDocument/2006/relationships/hyperlink" Target="https://advance.lexis.com/api/document?collection=cases-ca&amp;id=urn:contentItem:5F7T-S7J1-DXWW-2503-00000-00&amp;context=" TargetMode="External" /><Relationship Id="rId353" Type="http://schemas.openxmlformats.org/officeDocument/2006/relationships/hyperlink" Target="https://advance.lexis.com/api/document?collection=cases-ca&amp;id=urn:contentItem:5F81-YGK1-JJ1H-X4Y6-00000-00&amp;context=" TargetMode="External" /><Relationship Id="rId354" Type="http://schemas.openxmlformats.org/officeDocument/2006/relationships/hyperlink" Target="https://advance.lexis.com/api/document?collection=cases-ca&amp;id=urn:contentItem:5F7T-S7G1-JWR6-S1R8-00000-00&amp;context=" TargetMode="External" /><Relationship Id="rId355" Type="http://schemas.openxmlformats.org/officeDocument/2006/relationships/hyperlink" Target="https://advance.lexis.com/api/document?collection=cases-ca&amp;id=urn:contentItem:5F8T-N3V1-JTGH-B1GJ-00000-00&amp;context=" TargetMode="External" /><Relationship Id="rId356" Type="http://schemas.openxmlformats.org/officeDocument/2006/relationships/hyperlink" Target="https://advance.lexis.com/api/document?collection=cases-ca&amp;id=urn:contentItem:5F8T-N3T1-JFKM-651D-00000-00&amp;context=" TargetMode="External" /><Relationship Id="rId357" Type="http://schemas.openxmlformats.org/officeDocument/2006/relationships/header" Target="header40.xml" /><Relationship Id="rId358" Type="http://schemas.openxmlformats.org/officeDocument/2006/relationships/header" Target="header41.xml" /><Relationship Id="rId359" Type="http://schemas.openxmlformats.org/officeDocument/2006/relationships/footer" Target="footer40.xml" /><Relationship Id="rId36" Type="http://schemas.openxmlformats.org/officeDocument/2006/relationships/hyperlink" Target="https://advance.lexis.com/api/document?collection=cases-ca&amp;id=urn:contentItem:5F7T-S7H1-F016-S3PX-00000-00&amp;context=" TargetMode="External" /><Relationship Id="rId360" Type="http://schemas.openxmlformats.org/officeDocument/2006/relationships/footer" Target="footer41.xml" /><Relationship Id="rId361" Type="http://schemas.openxmlformats.org/officeDocument/2006/relationships/header" Target="header42.xml" /><Relationship Id="rId362" Type="http://schemas.openxmlformats.org/officeDocument/2006/relationships/footer" Target="footer42.xml" /><Relationship Id="rId363" Type="http://schemas.openxmlformats.org/officeDocument/2006/relationships/hyperlink" Target="https://advance.lexis.com/api/document?collection=cases-ca&amp;id=urn:contentItem:5F7T-S7C1-F4NT-X306-00000-00&amp;context=" TargetMode="External" /><Relationship Id="rId364" Type="http://schemas.openxmlformats.org/officeDocument/2006/relationships/hyperlink" Target="https://advance.lexis.com/api/document?collection=cases-ca&amp;id=urn:contentItem:5F7T-S7C1-JS0R-227N-00000-00&amp;context=" TargetMode="External" /><Relationship Id="rId365" Type="http://schemas.openxmlformats.org/officeDocument/2006/relationships/hyperlink" Target="https://advance.lexis.com/api/document?collection=cases-ca&amp;id=urn:contentItem:5F8T-N3V1-JF75-M3CB-00000-00&amp;context=" TargetMode="External" /><Relationship Id="rId366" Type="http://schemas.openxmlformats.org/officeDocument/2006/relationships/hyperlink" Target="https://advance.lexis.com/api/document?collection=cases-ca&amp;id=urn:contentItem:5F7T-S6X1-F7G6-625G-00000-00&amp;context=" TargetMode="External" /><Relationship Id="rId367" Type="http://schemas.openxmlformats.org/officeDocument/2006/relationships/hyperlink" Target="https://advance.lexis.com/api/document?collection=cases-ca&amp;id=urn:contentItem:5F7T-S721-F5T5-M2F6-00000-00&amp;context=" TargetMode="External" /><Relationship Id="rId368" Type="http://schemas.openxmlformats.org/officeDocument/2006/relationships/hyperlink" Target="https://advance.lexis.com/api/document?collection=cases-ca&amp;id=urn:contentItem:5F8P-SCW1-JW5H-X370-00000-00&amp;context=" TargetMode="External" /><Relationship Id="rId369" Type="http://schemas.openxmlformats.org/officeDocument/2006/relationships/hyperlink" Target="https://advance.lexis.com/api/document?collection=cases-ca&amp;id=urn:contentItem:5F7T-S711-F4W2-61MX-00000-00&amp;context=" TargetMode="External" /><Relationship Id="rId37" Type="http://schemas.openxmlformats.org/officeDocument/2006/relationships/hyperlink" Target="https://advance.lexis.com/api/document?collection=cases-ca&amp;id=urn:contentItem:5F8T-N3V1-JTGH-B1F5-00000-00&amp;context=" TargetMode="External" /><Relationship Id="rId370" Type="http://schemas.openxmlformats.org/officeDocument/2006/relationships/hyperlink" Target="https://advance.lexis.com/api/document?collection=cases-ca&amp;id=urn:contentItem:5F8T-N3S1-JBDT-B06N-00000-00&amp;context=" TargetMode="External" /><Relationship Id="rId371" Type="http://schemas.openxmlformats.org/officeDocument/2006/relationships/hyperlink" Target="https://advance.lexis.com/api/document?collection=cases-ca&amp;id=urn:contentItem:5F8T-N3V1-FC1F-M41H-00000-00&amp;context=" TargetMode="External" /><Relationship Id="rId372" Type="http://schemas.openxmlformats.org/officeDocument/2006/relationships/hyperlink" Target="https://advance.lexis.com/api/document?collection=cases-ca&amp;id=urn:contentItem:5F7T-S761-F81W-21N5-00000-00&amp;context=" TargetMode="External" /><Relationship Id="rId373" Type="http://schemas.openxmlformats.org/officeDocument/2006/relationships/hyperlink" Target="https://advance.lexis.com/api/document?collection=cases-ca&amp;id=urn:contentItem:5F8P-SCP1-JCJ5-23GR-00000-00&amp;context=" TargetMode="External" /><Relationship Id="rId374" Type="http://schemas.openxmlformats.org/officeDocument/2006/relationships/hyperlink" Target="https://advance.lexis.com/api/document?collection=cases-ca&amp;id=urn:contentItem:5F8P-SCY1-JC5P-G0Y5-00000-00&amp;context=" TargetMode="External" /><Relationship Id="rId375" Type="http://schemas.openxmlformats.org/officeDocument/2006/relationships/header" Target="header43.xml" /><Relationship Id="rId376" Type="http://schemas.openxmlformats.org/officeDocument/2006/relationships/header" Target="header44.xml" /><Relationship Id="rId377" Type="http://schemas.openxmlformats.org/officeDocument/2006/relationships/footer" Target="footer43.xml" /><Relationship Id="rId378" Type="http://schemas.openxmlformats.org/officeDocument/2006/relationships/footer" Target="footer44.xml" /><Relationship Id="rId379" Type="http://schemas.openxmlformats.org/officeDocument/2006/relationships/header" Target="header45.xml" /><Relationship Id="rId38" Type="http://schemas.openxmlformats.org/officeDocument/2006/relationships/hyperlink" Target="https://advance.lexis.com/api/document?collection=legislation-ca&amp;id=urn:contentItem:5MS6-KV51-DXWW-22WJ-00000-00&amp;context=" TargetMode="External" /><Relationship Id="rId380" Type="http://schemas.openxmlformats.org/officeDocument/2006/relationships/footer" Target="footer45.xml" /><Relationship Id="rId381" Type="http://schemas.openxmlformats.org/officeDocument/2006/relationships/hyperlink" Target="https://advance.lexis.com/api/document?collection=cases-ca&amp;id=urn:contentItem:5GCC-XVB1-JGHR-M4FH-00000-00&amp;context=" TargetMode="External" /><Relationship Id="rId382" Type="http://schemas.openxmlformats.org/officeDocument/2006/relationships/hyperlink" Target="https://advance.lexis.com/api/document?collection=cases-ca&amp;id=urn:contentItem:5F8T-N3V1-JTGH-B1GX-00000-00&amp;context=" TargetMode="External" /><Relationship Id="rId383" Type="http://schemas.openxmlformats.org/officeDocument/2006/relationships/hyperlink" Target="https://advance.lexis.com/api/document?collection=cases-ca&amp;id=urn:contentItem:5F7T-S711-F4W2-61W9-00000-00&amp;context=" TargetMode="External" /><Relationship Id="rId384" Type="http://schemas.openxmlformats.org/officeDocument/2006/relationships/hyperlink" Target="https://advance.lexis.com/api/document?collection=cases-ca&amp;id=urn:contentItem:5F7T-S7M1-DYMS-629D-00000-00&amp;context=" TargetMode="External" /><Relationship Id="rId385" Type="http://schemas.openxmlformats.org/officeDocument/2006/relationships/hyperlink" Target="https://advance.lexis.com/api/document?collection=cases-ca&amp;id=urn:contentItem:5F7T-S7H1-JFSV-G2SC-00000-00&amp;context=" TargetMode="External" /><Relationship Id="rId386" Type="http://schemas.openxmlformats.org/officeDocument/2006/relationships/hyperlink" Target="https://advance.lexis.com/api/document?collection=cases-ca&amp;id=urn:contentItem:5F7T-S761-FFMK-M161-00000-00&amp;context=" TargetMode="External" /><Relationship Id="rId387" Type="http://schemas.openxmlformats.org/officeDocument/2006/relationships/hyperlink" Target="https://advance.lexis.com/api/document?collection=cases-ca&amp;id=urn:contentItem:5F16-93C1-FFMK-M188-00000-00&amp;context=" TargetMode="External" /><Relationship Id="rId388" Type="http://schemas.openxmlformats.org/officeDocument/2006/relationships/hyperlink" Target="https://advance.lexis.com/api/document?collection=cases-ca&amp;id=urn:contentItem:5F7T-S7J1-JGBH-B2FV-00000-00&amp;context=" TargetMode="External" /><Relationship Id="rId389" Type="http://schemas.openxmlformats.org/officeDocument/2006/relationships/hyperlink" Target="https://advance.lexis.com/api/document?collection=cases-ca&amp;id=urn:contentItem:5F16-9351-JN6B-S1K0-00000-00&amp;context=" TargetMode="External" /><Relationship Id="rId39" Type="http://schemas.openxmlformats.org/officeDocument/2006/relationships/hyperlink" Target="https://advance.lexis.com/api/document?collection=cases-ca&amp;id=urn:contentItem:5F7T-S7J1-JGBH-B200-00000-00&amp;context=" TargetMode="External" /><Relationship Id="rId390" Type="http://schemas.openxmlformats.org/officeDocument/2006/relationships/hyperlink" Target="https://advance.lexis.com/api/document?collection=cases-ca&amp;id=urn:contentItem:5F8T-N3V1-JF75-M3K1-00000-00&amp;context=" TargetMode="External" /><Relationship Id="rId391" Type="http://schemas.openxmlformats.org/officeDocument/2006/relationships/hyperlink" Target="https://advance.lexis.com/api/document?collection=cases-ca&amp;id=urn:contentItem:5F81-VJX1-JKPJ-G1VM-00000-00&amp;context=" TargetMode="External" /><Relationship Id="rId392" Type="http://schemas.openxmlformats.org/officeDocument/2006/relationships/hyperlink" Target="https://advance.lexis.com/api/document?collection=cases-ca&amp;id=urn:contentItem:5F8P-SG31-DXWW-22N0-00000-00&amp;context=" TargetMode="External" /><Relationship Id="rId393" Type="http://schemas.openxmlformats.org/officeDocument/2006/relationships/hyperlink" Target="https://advance.lexis.com/api/document?collection=cases-ca&amp;id=urn:contentItem:5F8T-N3S1-JBDT-B032-00000-00&amp;context=" TargetMode="External" /><Relationship Id="rId394" Type="http://schemas.openxmlformats.org/officeDocument/2006/relationships/hyperlink" Target="https://advance.lexis.com/api/document?collection=cases-ca&amp;id=urn:contentItem:5F8T-N3V1-JF75-M3K6-00000-00&amp;context=" TargetMode="External" /><Relationship Id="rId395" Type="http://schemas.openxmlformats.org/officeDocument/2006/relationships/hyperlink" Target="https://advance.lexis.com/api/document?collection=cases-ca&amp;id=urn:contentItem:5F7T-S721-F4NT-X2K2-00000-00&amp;context=" TargetMode="External" /><Relationship Id="rId396" Type="http://schemas.openxmlformats.org/officeDocument/2006/relationships/hyperlink" Target="https://advance.lexis.com/api/document?collection=cases-ca&amp;id=urn:contentItem:5F7T-S7N1-JW09-M15N-00000-00&amp;context=" TargetMode="External" /><Relationship Id="rId397" Type="http://schemas.openxmlformats.org/officeDocument/2006/relationships/hyperlink" Target="https://advance.lexis.com/api/document?collection=cases-ca&amp;id=urn:contentItem:5F8T-N3V1-JTGH-B1CP-00000-00&amp;context=" TargetMode="External" /><Relationship Id="rId398" Type="http://schemas.openxmlformats.org/officeDocument/2006/relationships/hyperlink" Target="https://advance.lexis.com/api/document?collection=cases-ca&amp;id=urn:contentItem:5F7T-S7G1-JPP5-21XC-00000-00&amp;context=" TargetMode="External" /><Relationship Id="rId399" Type="http://schemas.openxmlformats.org/officeDocument/2006/relationships/hyperlink" Target="https://advance.lexis.com/api/document?collection=cases-ca&amp;id=urn:contentItem:5F7T-S781-F7G6-63RB-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91-JCJ5-24W2-00000-00&amp;context=" TargetMode="External" /><Relationship Id="rId400" Type="http://schemas.openxmlformats.org/officeDocument/2006/relationships/hyperlink" Target="https://advance.lexis.com/api/document?collection=cases-ca&amp;id=urn:contentItem:5F7T-S7K1-JNY7-X48C-00000-00&amp;context=" TargetMode="External" /><Relationship Id="rId401" Type="http://schemas.openxmlformats.org/officeDocument/2006/relationships/hyperlink" Target="https://advance.lexis.com/api/document?collection=cases-ca&amp;id=urn:contentItem:5F81-VJX1-JJYN-B4VK-00000-00&amp;context=" TargetMode="External" /><Relationship Id="rId402" Type="http://schemas.openxmlformats.org/officeDocument/2006/relationships/hyperlink" Target="https://advance.lexis.com/api/document?collection=cases-ca&amp;id=urn:contentItem:5F8P-SGB1-F873-B2S7-00000-00&amp;context=" TargetMode="External" /><Relationship Id="rId403" Type="http://schemas.openxmlformats.org/officeDocument/2006/relationships/hyperlink" Target="https://advance.lexis.com/api/document?collection=cases-ca&amp;id=urn:contentItem:5F81-VJX1-JKPJ-G1J6-00000-00&amp;context=" TargetMode="External" /><Relationship Id="rId404" Type="http://schemas.openxmlformats.org/officeDocument/2006/relationships/hyperlink" Target="https://advance.lexis.com/api/document?collection=cases-ca&amp;id=urn:contentItem:5F8P-SGB1-FBV7-B3XV-00000-00&amp;context=" TargetMode="External" /><Relationship Id="rId405" Type="http://schemas.openxmlformats.org/officeDocument/2006/relationships/hyperlink" Target="https://advance.lexis.com/api/document?collection=cases-ca&amp;id=urn:contentItem:5F82-1SF1-JXG3-X2BF-00000-00&amp;context=" TargetMode="External" /><Relationship Id="rId406" Type="http://schemas.openxmlformats.org/officeDocument/2006/relationships/hyperlink" Target="https://advance.lexis.com/api/document?collection=cases-ca&amp;id=urn:contentItem:5F8N-K731-F361-M158-00000-00&amp;context=" TargetMode="External" /><Relationship Id="rId407" Type="http://schemas.openxmlformats.org/officeDocument/2006/relationships/hyperlink" Target="https://advance.lexis.com/api/document?collection=cases-ca&amp;id=urn:contentItem:5F7H-JFB1-JSC5-M0XR-00000-00&amp;context=" TargetMode="External" /><Relationship Id="rId408" Type="http://schemas.openxmlformats.org/officeDocument/2006/relationships/hyperlink" Target="https://advance.lexis.com/api/document?collection=cases-ca&amp;id=urn:contentItem:5F7T-S6V1-JC0G-62J9-00000-00&amp;context=" TargetMode="External" /><Relationship Id="rId409" Type="http://schemas.openxmlformats.org/officeDocument/2006/relationships/hyperlink" Target="https://advance.lexis.com/api/document?collection=cases-ca&amp;id=urn:contentItem:5F7T-S7F1-F7VM-S46W-00000-00&amp;context=" TargetMode="External" /><Relationship Id="rId41" Type="http://schemas.openxmlformats.org/officeDocument/2006/relationships/hyperlink" Target="https://advance.lexis.com/api/document?collection=cases-ca&amp;id=urn:contentItem:5F7T-S7G1-JBT7-X3NX-00000-00&amp;context=" TargetMode="External" /><Relationship Id="rId410" Type="http://schemas.openxmlformats.org/officeDocument/2006/relationships/header" Target="header46.xml" /><Relationship Id="rId411" Type="http://schemas.openxmlformats.org/officeDocument/2006/relationships/header" Target="header47.xml" /><Relationship Id="rId412" Type="http://schemas.openxmlformats.org/officeDocument/2006/relationships/footer" Target="footer46.xml" /><Relationship Id="rId413" Type="http://schemas.openxmlformats.org/officeDocument/2006/relationships/footer" Target="footer47.xml" /><Relationship Id="rId414" Type="http://schemas.openxmlformats.org/officeDocument/2006/relationships/header" Target="header48.xml" /><Relationship Id="rId415" Type="http://schemas.openxmlformats.org/officeDocument/2006/relationships/footer" Target="footer48.xml" /><Relationship Id="rId416" Type="http://schemas.openxmlformats.org/officeDocument/2006/relationships/hyperlink" Target="https://advance.lexis.com/api/document?collection=cases-ca&amp;id=urn:contentItem:5F7T-S781-JSC5-M3W5-00000-00&amp;context=" TargetMode="External" /><Relationship Id="rId417" Type="http://schemas.openxmlformats.org/officeDocument/2006/relationships/hyperlink" Target="https://advance.lexis.com/api/document?collection=cases-ca&amp;id=urn:contentItem:5F7T-S711-JC0G-62R6-00000-00&amp;context=" TargetMode="External" /><Relationship Id="rId418" Type="http://schemas.openxmlformats.org/officeDocument/2006/relationships/hyperlink" Target="https://advance.lexis.com/api/document?collection=cases-ca&amp;id=urn:contentItem:5F7T-S741-F57G-S1K3-00000-00&amp;context=" TargetMode="External" /><Relationship Id="rId419" Type="http://schemas.openxmlformats.org/officeDocument/2006/relationships/hyperlink" Target="https://advance.lexis.com/api/document?collection=cases-ca&amp;id=urn:contentItem:5F7T-S771-JW5H-X1PR-00000-00&amp;context=" TargetMode="External" /><Relationship Id="rId42" Type="http://schemas.openxmlformats.org/officeDocument/2006/relationships/hyperlink" Target="https://advance.lexis.com/api/document?collection=cases-ca&amp;id=urn:contentItem:5F81-VJX1-F5KY-B40B-00000-00&amp;context=" TargetMode="External" /><Relationship Id="rId420" Type="http://schemas.openxmlformats.org/officeDocument/2006/relationships/hyperlink" Target="https://advance.lexis.com/api/document?collection=cases-ca&amp;id=urn:contentItem:5F7T-S751-JGHR-M1WP-00000-00&amp;context=" TargetMode="External" /><Relationship Id="rId421" Type="http://schemas.openxmlformats.org/officeDocument/2006/relationships/hyperlink" Target="https://advance.lexis.com/api/document?collection=cases-ca&amp;id=urn:contentItem:5F7T-S6X1-F06F-22MV-00000-00&amp;context=" TargetMode="External" /><Relationship Id="rId422" Type="http://schemas.openxmlformats.org/officeDocument/2006/relationships/hyperlink" Target="https://advance.lexis.com/api/document?collection=cases-ca&amp;id=urn:contentItem:5F7T-S741-F528-G21K-00000-00&amp;context=" TargetMode="External" /><Relationship Id="rId423" Type="http://schemas.openxmlformats.org/officeDocument/2006/relationships/hyperlink" Target="https://advance.lexis.com/api/document?collection=cases-ca&amp;id=urn:contentItem:5F7T-S771-F361-M1P7-00000-00&amp;context=" TargetMode="External" /><Relationship Id="rId424" Type="http://schemas.openxmlformats.org/officeDocument/2006/relationships/hyperlink" Target="https://advance.lexis.com/api/document?collection=cases-ca&amp;id=urn:contentItem:5F7T-S7H1-JFKM-627B-00000-00&amp;context=" TargetMode="External" /><Relationship Id="rId425" Type="http://schemas.openxmlformats.org/officeDocument/2006/relationships/hyperlink" Target="https://advance.lexis.com/api/document?collection=cases-ca&amp;id=urn:contentItem:5F7T-S751-JBM1-M241-00000-00&amp;context=" TargetMode="External" /><Relationship Id="rId426" Type="http://schemas.openxmlformats.org/officeDocument/2006/relationships/hyperlink" Target="https://advance.lexis.com/api/document?collection=cases-ca&amp;id=urn:contentItem:5F7T-S6T1-FJTD-G1NR-00000-00&amp;context=" TargetMode="External" /><Relationship Id="rId427" Type="http://schemas.openxmlformats.org/officeDocument/2006/relationships/hyperlink" Target="https://advance.lexis.com/api/document?collection=cases-ca&amp;id=urn:contentItem:5F7T-S6X1-F7ND-G3V4-00000-00&amp;context=" TargetMode="External" /><Relationship Id="rId428" Type="http://schemas.openxmlformats.org/officeDocument/2006/relationships/header" Target="header49.xml" /><Relationship Id="rId429" Type="http://schemas.openxmlformats.org/officeDocument/2006/relationships/header" Target="header50.xml" /><Relationship Id="rId43" Type="http://schemas.openxmlformats.org/officeDocument/2006/relationships/hyperlink" Target="https://advance.lexis.com/api/document?collection=cases-ca&amp;id=urn:contentItem:5F8T-N3T1-JJSF-236V-00000-00&amp;context=" TargetMode="External" /><Relationship Id="rId430" Type="http://schemas.openxmlformats.org/officeDocument/2006/relationships/footer" Target="footer49.xml" /><Relationship Id="rId431" Type="http://schemas.openxmlformats.org/officeDocument/2006/relationships/footer" Target="footer50.xml" /><Relationship Id="rId432" Type="http://schemas.openxmlformats.org/officeDocument/2006/relationships/header" Target="header51.xml" /><Relationship Id="rId433" Type="http://schemas.openxmlformats.org/officeDocument/2006/relationships/footer" Target="footer51.xml" /><Relationship Id="rId434" Type="http://schemas.openxmlformats.org/officeDocument/2006/relationships/hyperlink" Target="https://advance.lexis.com/api/document?collection=cases-ca&amp;id=urn:contentItem:5F7T-S7K1-F528-G2P5-00000-00&amp;context=" TargetMode="External" /><Relationship Id="rId435" Type="http://schemas.openxmlformats.org/officeDocument/2006/relationships/hyperlink" Target="https://advance.lexis.com/api/document?collection=cases-ca&amp;id=urn:contentItem:5F7T-S731-JNJT-B1P4-00000-00&amp;context=" TargetMode="External" /><Relationship Id="rId436" Type="http://schemas.openxmlformats.org/officeDocument/2006/relationships/hyperlink" Target="https://advance.lexis.com/api/document?collection=cases-ca&amp;id=urn:contentItem:5F16-92Y1-JS5Y-B075-00000-00&amp;context=" TargetMode="External" /><Relationship Id="rId437" Type="http://schemas.openxmlformats.org/officeDocument/2006/relationships/hyperlink" Target="https://advance.lexis.com/api/document?collection=cases-ca&amp;id=urn:contentItem:5F81-VJS1-FFFC-B2MF-00000-00&amp;context=" TargetMode="External" /><Relationship Id="rId438" Type="http://schemas.openxmlformats.org/officeDocument/2006/relationships/hyperlink" Target="https://advance.lexis.com/api/document?collection=cases-ca&amp;id=urn:contentItem:5F8T-N3T1-JGHR-M1VV-00000-00&amp;context=" TargetMode="External" /><Relationship Id="rId439" Type="http://schemas.openxmlformats.org/officeDocument/2006/relationships/hyperlink" Target="https://advance.lexis.com/api/document?collection=cases-ca&amp;id=urn:contentItem:5F8T-N3R1-JJSF-22KN-00000-00&amp;context=" TargetMode="External" /><Relationship Id="rId44" Type="http://schemas.openxmlformats.org/officeDocument/2006/relationships/hyperlink" Target="https://advance.lexis.com/api/document?collection=cases-ca&amp;id=urn:contentItem:5F7T-S7M1-JPP5-22HF-00000-00&amp;context=" TargetMode="External" /><Relationship Id="rId440" Type="http://schemas.openxmlformats.org/officeDocument/2006/relationships/hyperlink" Target="https://advance.lexis.com/api/document?collection=cases-ca&amp;id=urn:contentItem:5F7T-S6W1-JF75-M33H-00000-00&amp;context=" TargetMode="External" /><Relationship Id="rId441" Type="http://schemas.openxmlformats.org/officeDocument/2006/relationships/hyperlink" Target="https://advance.lexis.com/api/document?collection=cases-ca&amp;id=urn:contentItem:5F7T-S6X1-FJDY-X1D6-00000-00&amp;context=" TargetMode="External" /><Relationship Id="rId442" Type="http://schemas.openxmlformats.org/officeDocument/2006/relationships/hyperlink" Target="https://advance.lexis.com/api/document?collection=cases-ca&amp;id=urn:contentItem:5F7T-S6R1-JGPY-X16K-00000-00&amp;context=" TargetMode="External" /><Relationship Id="rId443" Type="http://schemas.openxmlformats.org/officeDocument/2006/relationships/hyperlink" Target="https://advance.lexis.com/api/document?collection=cases-ca&amp;id=urn:contentItem:5F8T-N3S1-JBDT-B0F4-00000-00&amp;context=" TargetMode="External" /><Relationship Id="rId444" Type="http://schemas.openxmlformats.org/officeDocument/2006/relationships/hyperlink" Target="https://advance.lexis.com/api/document?collection=cases-ca&amp;id=urn:contentItem:5F8T-N3V1-JFKM-609F-00000-00&amp;context=" TargetMode="External" /><Relationship Id="rId445" Type="http://schemas.openxmlformats.org/officeDocument/2006/relationships/hyperlink" Target="https://advance.lexis.com/api/document?collection=cases-ca&amp;id=urn:contentItem:5F8T-N3V1-JF75-M3S5-00000-00&amp;context=" TargetMode="External" /><Relationship Id="rId446" Type="http://schemas.openxmlformats.org/officeDocument/2006/relationships/hyperlink" Target="https://advance.lexis.com/api/document?collection=cases-ca&amp;id=urn:contentItem:5F8T-N3T1-JGHR-M1TY-00000-00&amp;context=" TargetMode="External" /><Relationship Id="rId447" Type="http://schemas.openxmlformats.org/officeDocument/2006/relationships/hyperlink" Target="https://advance.lexis.com/api/document?collection=cases-ca&amp;id=urn:contentItem:5F8P-SDN1-JG59-23K2-00000-00&amp;context=" TargetMode="External" /><Relationship Id="rId448" Type="http://schemas.openxmlformats.org/officeDocument/2006/relationships/hyperlink" Target="https://advance.lexis.com/api/document?collection=cases-ca&amp;id=urn:contentItem:5F7V-3DJ1-FGY5-M1JM-00000-00&amp;context=" TargetMode="External" /><Relationship Id="rId449" Type="http://schemas.openxmlformats.org/officeDocument/2006/relationships/hyperlink" Target="https://advance.lexis.com/api/document?collection=cases-ca&amp;id=urn:contentItem:5F7H-SCN1-DY89-M225-00000-00&amp;context=" TargetMode="External" /><Relationship Id="rId45" Type="http://schemas.openxmlformats.org/officeDocument/2006/relationships/hyperlink" Target="https://advance.lexis.com/api/document?collection=cases-ca&amp;id=urn:contentItem:5F7T-S7J1-JGBH-B20P-00000-00&amp;context=" TargetMode="External" /><Relationship Id="rId450" Type="http://schemas.openxmlformats.org/officeDocument/2006/relationships/hyperlink" Target="https://advance.lexis.com/api/document?collection=cases-ca&amp;id=urn:contentItem:5F81-VJX1-FGY5-M3K0-00000-00&amp;context=" TargetMode="External" /><Relationship Id="rId451" Type="http://schemas.openxmlformats.org/officeDocument/2006/relationships/hyperlink" Target="https://advance.lexis.com/api/document?collection=cases-ca&amp;id=urn:contentItem:5F8N-K701-DYFH-X361-00000-00&amp;context=" TargetMode="External" /><Relationship Id="rId452" Type="http://schemas.openxmlformats.org/officeDocument/2006/relationships/hyperlink" Target="https://advance.lexis.com/api/document?collection=cases-ca&amp;id=urn:contentItem:5F8T-N3V1-FC1F-M41J-00000-00&amp;context=" TargetMode="External" /><Relationship Id="rId453" Type="http://schemas.openxmlformats.org/officeDocument/2006/relationships/hyperlink" Target="https://advance.lexis.com/api/document?collection=cases-ca&amp;id=urn:contentItem:5F7T-XPW1-F1WF-M2TB-00000-00&amp;context=" TargetMode="External" /><Relationship Id="rId454" Type="http://schemas.openxmlformats.org/officeDocument/2006/relationships/hyperlink" Target="https://advance.lexis.com/api/document?collection=cases-ca&amp;id=urn:contentItem:5F8T-N3R1-JNS1-M12J-00000-00&amp;context=" TargetMode="External" /><Relationship Id="rId455" Type="http://schemas.openxmlformats.org/officeDocument/2006/relationships/header" Target="header52.xml" /><Relationship Id="rId456" Type="http://schemas.openxmlformats.org/officeDocument/2006/relationships/header" Target="header53.xml" /><Relationship Id="rId457" Type="http://schemas.openxmlformats.org/officeDocument/2006/relationships/footer" Target="footer52.xml" /><Relationship Id="rId458" Type="http://schemas.openxmlformats.org/officeDocument/2006/relationships/footer" Target="footer53.xml" /><Relationship Id="rId459" Type="http://schemas.openxmlformats.org/officeDocument/2006/relationships/header" Target="header54.xml" /><Relationship Id="rId46" Type="http://schemas.openxmlformats.org/officeDocument/2006/relationships/hyperlink" Target="https://advance.lexis.com/api/document?collection=cases-ca&amp;id=urn:contentItem:5F8P-SG31-JF75-M334-00000-00&amp;context=" TargetMode="External" /><Relationship Id="rId460" Type="http://schemas.openxmlformats.org/officeDocument/2006/relationships/footer" Target="footer54.xml" /><Relationship Id="rId461" Type="http://schemas.openxmlformats.org/officeDocument/2006/relationships/hyperlink" Target="https://advance.lexis.com/api/document?collection=cases-ca&amp;id=urn:contentItem:5P57-9BJ1-FCSB-S44B-00000-00&amp;context=" TargetMode="External" /><Relationship Id="rId462" Type="http://schemas.openxmlformats.org/officeDocument/2006/relationships/hyperlink" Target="https://advance.lexis.com/api/document?collection=legislation-ca&amp;id=urn:contentItem:5F41-1FG1-FC1F-M0SW-00000-00&amp;context=" TargetMode="External" /><Relationship Id="rId463" Type="http://schemas.openxmlformats.org/officeDocument/2006/relationships/hyperlink" Target="https://advance.lexis.com/api/document?collection=cases-ca&amp;id=urn:contentItem:5HYH-NGC1-F5T5-M2H9-00000-00&amp;context=" TargetMode="External" /><Relationship Id="rId464" Type="http://schemas.openxmlformats.org/officeDocument/2006/relationships/hyperlink" Target="https://advance.lexis.com/api/document?collection=cases-ca&amp;id=urn:contentItem:5F7T-S7P1-F2TK-23PJ-00000-00&amp;context=" TargetMode="External" /><Relationship Id="rId465" Type="http://schemas.openxmlformats.org/officeDocument/2006/relationships/hyperlink" Target="https://advance.lexis.com/api/document?collection=cases-ca&amp;id=urn:contentItem:5F7T-S7P1-JP4G-6256-00000-00&amp;context=" TargetMode="External" /><Relationship Id="rId466" Type="http://schemas.openxmlformats.org/officeDocument/2006/relationships/hyperlink" Target="https://advance.lexis.com/api/document?collection=cases-ca&amp;id=urn:contentItem:5GCC-XVC1-JSRM-60NY-00000-00&amp;context=" TargetMode="External" /><Relationship Id="rId467" Type="http://schemas.openxmlformats.org/officeDocument/2006/relationships/hyperlink" Target="https://advance.lexis.com/api/document?collection=cases-ca&amp;id=urn:contentItem:5F7T-S6Y1-JTNR-M4PK-00000-00&amp;context=" TargetMode="External" /><Relationship Id="rId468" Type="http://schemas.openxmlformats.org/officeDocument/2006/relationships/hyperlink" Target="https://advance.lexis.com/api/document?collection=cases-ca&amp;id=urn:contentItem:5F8T-N3V1-JTGH-B1BS-00000-00&amp;context=" TargetMode="External" /><Relationship Id="rId469" Type="http://schemas.openxmlformats.org/officeDocument/2006/relationships/hyperlink" Target="https://advance.lexis.com/api/document?collection=cases-ca&amp;id=urn:contentItem:5GGK-45G1-F7VM-S3BD-00000-00&amp;context=" TargetMode="External" /><Relationship Id="rId47" Type="http://schemas.openxmlformats.org/officeDocument/2006/relationships/hyperlink" Target="https://advance.lexis.com/api/document?collection=cases-ca&amp;id=urn:contentItem:5F8P-SG41-F7G6-60XG-00000-00&amp;context=" TargetMode="External" /><Relationship Id="rId470" Type="http://schemas.openxmlformats.org/officeDocument/2006/relationships/hyperlink" Target="https://advance.lexis.com/api/document?collection=cases-ca&amp;id=urn:contentItem:5F8T-N3V1-FH4C-X257-00000-00&amp;context=" TargetMode="External" /><Relationship Id="rId471" Type="http://schemas.openxmlformats.org/officeDocument/2006/relationships/hyperlink" Target="https://advance.lexis.com/api/document?collection=cases-ca&amp;id=urn:contentItem:5F7T-S731-JNJT-B261-00000-00&amp;context=" TargetMode="External" /><Relationship Id="rId472" Type="http://schemas.openxmlformats.org/officeDocument/2006/relationships/hyperlink" Target="https://advance.lexis.com/api/document?collection=cases-ca&amp;id=urn:contentItem:5F7T-S751-JX3N-B17Y-00000-00&amp;context=" TargetMode="External" /><Relationship Id="rId473" Type="http://schemas.openxmlformats.org/officeDocument/2006/relationships/hyperlink" Target="https://advance.lexis.com/api/document?collection=cases-ca&amp;id=urn:contentItem:5F7T-S7P1-JP4G-61WY-00000-00&amp;context=" TargetMode="External" /><Relationship Id="rId474" Type="http://schemas.openxmlformats.org/officeDocument/2006/relationships/hyperlink" Target="https://advance.lexis.com/api/document?collection=cases-ca&amp;id=urn:contentItem:5F7T-S7M1-JNCK-22HM-00000-00&amp;context=" TargetMode="External" /><Relationship Id="rId475" Type="http://schemas.openxmlformats.org/officeDocument/2006/relationships/hyperlink" Target="https://advance.lexis.com/api/document?collection=cases-ca&amp;id=urn:contentItem:5F7T-S7M1-JCRC-B1B8-00000-00&amp;context=" TargetMode="External" /><Relationship Id="rId476" Type="http://schemas.openxmlformats.org/officeDocument/2006/relationships/hyperlink" Target="https://advance.lexis.com/api/document?collection=cases-ca&amp;id=urn:contentItem:5FX0-KKR1-JCBX-S2K8-00000-00&amp;context=" TargetMode="External" /><Relationship Id="rId477" Type="http://schemas.openxmlformats.org/officeDocument/2006/relationships/hyperlink" Target="https://advance.lexis.com/api/document?collection=cases-ca&amp;id=urn:contentItem:5GCD-KK01-JNJT-B1J5-00000-00&amp;context=" TargetMode="External" /><Relationship Id="rId478" Type="http://schemas.openxmlformats.org/officeDocument/2006/relationships/hyperlink" Target="https://advance.lexis.com/api/document?collection=cases-ca&amp;id=urn:contentItem:5F7T-S741-FJM6-61RX-00000-00&amp;context=" TargetMode="External" /><Relationship Id="rId479" Type="http://schemas.openxmlformats.org/officeDocument/2006/relationships/hyperlink" Target="https://advance.lexis.com/api/document?collection=cases-ca&amp;id=urn:contentItem:5F7T-S731-JC0G-63HG-00000-00&amp;context=" TargetMode="External" /><Relationship Id="rId48" Type="http://schemas.openxmlformats.org/officeDocument/2006/relationships/hyperlink" Target="https://advance.lexis.com/api/document?collection=cases-ca&amp;id=urn:contentItem:5F8T-N3V1-FC1F-M4C7-00000-00&amp;context=" TargetMode="External" /><Relationship Id="rId480" Type="http://schemas.openxmlformats.org/officeDocument/2006/relationships/hyperlink" Target="https://advance.lexis.com/api/document?collection=cases-ca&amp;id=urn:contentItem:5F7T-S7M1-JFSV-G3GJ-00000-00&amp;context=" TargetMode="External" /><Relationship Id="rId481" Type="http://schemas.openxmlformats.org/officeDocument/2006/relationships/hyperlink" Target="https://advance.lexis.com/api/document?collection=cases-ca&amp;id=urn:contentItem:5F7T-S7C1-F4NT-X2YG-00000-00&amp;context=" TargetMode="External" /><Relationship Id="rId482" Type="http://schemas.openxmlformats.org/officeDocument/2006/relationships/hyperlink" Target="https://advance.lexis.com/api/document?collection=cases-ca&amp;id=urn:contentItem:5F7T-S7C1-JXG3-X0D2-00000-00&amp;context=" TargetMode="External" /><Relationship Id="rId483" Type="http://schemas.openxmlformats.org/officeDocument/2006/relationships/hyperlink" Target="https://advance.lexis.com/api/document?collection=cases-ca&amp;id=urn:contentItem:5GCC-XVC1-JSRM-60HK-00000-00&amp;context=" TargetMode="External" /><Relationship Id="rId484" Type="http://schemas.openxmlformats.org/officeDocument/2006/relationships/hyperlink" Target="https://advance.lexis.com/api/document?collection=cases-ca&amp;id=urn:contentItem:5F7T-S741-F8D9-M1F3-00000-00&amp;context=" TargetMode="External" /><Relationship Id="rId485" Type="http://schemas.openxmlformats.org/officeDocument/2006/relationships/hyperlink" Target="https://advance.lexis.com/api/document?collection=cases-ca&amp;id=urn:contentItem:5F7T-S711-JC0G-62XB-00000-00&amp;context=" TargetMode="External" /><Relationship Id="rId486" Type="http://schemas.openxmlformats.org/officeDocument/2006/relationships/hyperlink" Target="https://advance.lexis.com/api/document?collection=cases-ca&amp;id=urn:contentItem:5F8T-N3S1-JBDT-B07Y-00000-00&amp;context=" TargetMode="External" /><Relationship Id="rId487" Type="http://schemas.openxmlformats.org/officeDocument/2006/relationships/hyperlink" Target="https://advance.lexis.com/api/document?collection=cases-ca&amp;id=urn:contentItem:5F7T-S7D1-JG02-S2K6-00000-00&amp;context=" TargetMode="External" /><Relationship Id="rId488" Type="http://schemas.openxmlformats.org/officeDocument/2006/relationships/hyperlink" Target="https://advance.lexis.com/api/document?collection=cases-ca&amp;id=urn:contentItem:5F7T-S7P1-JCRC-B25C-00000-00&amp;context=" TargetMode="External" /><Relationship Id="rId489" Type="http://schemas.openxmlformats.org/officeDocument/2006/relationships/hyperlink" Target="https://advance.lexis.com/api/document?collection=cases-ca&amp;id=urn:contentItem:5F8T-N3V1-FH4C-X1VX-00000-00&amp;context=" TargetMode="External" /><Relationship Id="rId49" Type="http://schemas.openxmlformats.org/officeDocument/2006/relationships/hyperlink" Target="https://advance.lexis.com/api/document?collection=cases-ca&amp;id=urn:contentItem:5F7T-S7M1-F4W2-62K7-00000-00&amp;context=" TargetMode="External" /><Relationship Id="rId490" Type="http://schemas.openxmlformats.org/officeDocument/2006/relationships/hyperlink" Target="https://advance.lexis.com/api/document?collection=cases-ca&amp;id=urn:contentItem:5MYB-0RF1-FCK4-G547-00000-00&amp;context=" TargetMode="External" /><Relationship Id="rId491" Type="http://schemas.openxmlformats.org/officeDocument/2006/relationships/hyperlink" Target="https://advance.lexis.com/api/document?collection=cases-ca&amp;id=urn:contentItem:5F7T-S7M1-JNCK-22GB-00000-00&amp;context=" TargetMode="External" /><Relationship Id="rId492" Type="http://schemas.openxmlformats.org/officeDocument/2006/relationships/hyperlink" Target="https://advance.lexis.com/api/document?collection=cases-ca&amp;id=urn:contentItem:5F8T-N3V1-FH4C-X234-00000-00&amp;context=" TargetMode="External" /><Relationship Id="rId493" Type="http://schemas.openxmlformats.org/officeDocument/2006/relationships/hyperlink" Target="https://advance.lexis.com/api/document?collection=cases-ca&amp;id=urn:contentItem:5F7T-S7M1-JCRC-B1TH-00000-00&amp;context=" TargetMode="External" /><Relationship Id="rId494" Type="http://schemas.openxmlformats.org/officeDocument/2006/relationships/hyperlink" Target="https://advance.lexis.com/api/document?collection=cases-ca&amp;id=urn:contentItem:5F7T-S7B1-FH4C-X3V5-00000-00&amp;context=" TargetMode="External" /><Relationship Id="rId495" Type="http://schemas.openxmlformats.org/officeDocument/2006/relationships/hyperlink" Target="https://advance.lexis.com/api/document?collection=cases-ca&amp;id=urn:contentItem:5K0R-HRN1-JX8W-M232-00000-00&amp;context=" TargetMode="External" /><Relationship Id="rId496" Type="http://schemas.openxmlformats.org/officeDocument/2006/relationships/hyperlink" Target="https://advance.lexis.com/api/document?collection=cases-ca&amp;id=urn:contentItem:5F7T-S7N1-F06F-24DG-00000-00&amp;context=" TargetMode="External" /><Relationship Id="rId497" Type="http://schemas.openxmlformats.org/officeDocument/2006/relationships/hyperlink" Target="https://advance.lexis.com/api/document?collection=cases-ca&amp;id=urn:contentItem:5N01-2K51-F7VM-S019-00000-00&amp;context=" TargetMode="External" /><Relationship Id="rId498" Type="http://schemas.openxmlformats.org/officeDocument/2006/relationships/hyperlink" Target="https://advance.lexis.com/api/document?collection=cases-ca&amp;id=urn:contentItem:5G77-HXG1-FCK4-G3X9-00000-00&amp;context=" TargetMode="External" /><Relationship Id="rId499" Type="http://schemas.openxmlformats.org/officeDocument/2006/relationships/hyperlink" Target="https://advance.lexis.com/api/document?collection=cases-ca&amp;id=urn:contentItem:5G5K-89P1-K054-G33N-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51-F361-M0SX-00000-00&amp;context=" TargetMode="External" /><Relationship Id="rId500" Type="http://schemas.openxmlformats.org/officeDocument/2006/relationships/hyperlink" Target="https://advance.lexis.com/api/document?collection=cases-ca&amp;id=urn:contentItem:5F8T-N3V1-JTGH-B0YX-00000-00&amp;context=" TargetMode="External" /><Relationship Id="rId501" Type="http://schemas.openxmlformats.org/officeDocument/2006/relationships/hyperlink" Target="https://advance.lexis.com/api/document?collection=cases-ca&amp;id=urn:contentItem:5F8T-N3V1-FH4C-X252-00000-00&amp;context=" TargetMode="External" /><Relationship Id="rId502" Type="http://schemas.openxmlformats.org/officeDocument/2006/relationships/header" Target="header55.xml" /><Relationship Id="rId503" Type="http://schemas.openxmlformats.org/officeDocument/2006/relationships/header" Target="header56.xml" /><Relationship Id="rId504" Type="http://schemas.openxmlformats.org/officeDocument/2006/relationships/footer" Target="footer55.xml" /><Relationship Id="rId505" Type="http://schemas.openxmlformats.org/officeDocument/2006/relationships/footer" Target="footer56.xml" /><Relationship Id="rId506" Type="http://schemas.openxmlformats.org/officeDocument/2006/relationships/header" Target="header57.xml" /><Relationship Id="rId507" Type="http://schemas.openxmlformats.org/officeDocument/2006/relationships/footer" Target="footer57.xml" /><Relationship Id="rId508" Type="http://schemas.openxmlformats.org/officeDocument/2006/relationships/hyperlink" Target="https://advance.lexis.com/api/document?collection=cases-ca&amp;id=urn:contentItem:5F7T-S781-JC5P-G1S9-00000-00&amp;context=" TargetMode="External" /><Relationship Id="rId509" Type="http://schemas.openxmlformats.org/officeDocument/2006/relationships/hyperlink" Target="https://advance.lexis.com/api/document?collection=cases-ca&amp;id=urn:contentItem:5F8T-N3V1-JF75-M3S6-00000-00&amp;context=" TargetMode="External" /><Relationship Id="rId51" Type="http://schemas.openxmlformats.org/officeDocument/2006/relationships/hyperlink" Target="https://advance.lexis.com/api/document?collection=cases-ca&amp;id=urn:contentItem:5F82-1SD1-FC1F-M2XY-00000-00&amp;context=" TargetMode="External" /><Relationship Id="rId510" Type="http://schemas.openxmlformats.org/officeDocument/2006/relationships/hyperlink" Target="https://advance.lexis.com/api/document?collection=cases-ca&amp;id=urn:contentItem:5F7T-S761-JCBX-S0T3-00000-00&amp;context=" TargetMode="External" /><Relationship Id="rId511" Type="http://schemas.openxmlformats.org/officeDocument/2006/relationships/hyperlink" Target="https://advance.lexis.com/api/document?collection=cases-ca&amp;id=urn:contentItem:5F7T-S6V1-JFKM-6133-00000-00&amp;context=" TargetMode="External" /><Relationship Id="rId512" Type="http://schemas.openxmlformats.org/officeDocument/2006/relationships/hyperlink" Target="https://advance.lexis.com/api/document?collection=cases-ca&amp;id=urn:contentItem:5F7T-S721-FD4T-B0MF-00000-00&amp;context=" TargetMode="External" /><Relationship Id="rId513" Type="http://schemas.openxmlformats.org/officeDocument/2006/relationships/hyperlink" Target="https://advance.lexis.com/api/document?collection=cases-ca&amp;id=urn:contentItem:5F7T-S741-F528-G2J5-00000-00&amp;context=" TargetMode="External" /><Relationship Id="rId514" Type="http://schemas.openxmlformats.org/officeDocument/2006/relationships/hyperlink" Target="https://advance.lexis.com/api/document?collection=cases-ca&amp;id=urn:contentItem:5F7T-S771-F361-M1WV-00000-00&amp;context=" TargetMode="External" /><Relationship Id="rId515" Type="http://schemas.openxmlformats.org/officeDocument/2006/relationships/hyperlink" Target="https://advance.lexis.com/api/document?collection=cases-ca&amp;id=urn:contentItem:5F7T-S781-F7G6-63B0-00000-00&amp;context=" TargetMode="External" /><Relationship Id="rId516" Type="http://schemas.openxmlformats.org/officeDocument/2006/relationships/hyperlink" Target="https://advance.lexis.com/api/document?collection=cases-ca&amp;id=urn:contentItem:5F7T-S761-F81W-21RK-00000-00&amp;context=" TargetMode="External" /><Relationship Id="rId517" Type="http://schemas.openxmlformats.org/officeDocument/2006/relationships/hyperlink" Target="https://advance.lexis.com/api/document?collection=cases-ca&amp;id=urn:contentItem:5F7T-S711-JNY7-X30K-00000-00&amp;context=" TargetMode="External" /><Relationship Id="rId518" Type="http://schemas.openxmlformats.org/officeDocument/2006/relationships/hyperlink" Target="https://advance.lexis.com/api/document?collection=cases-ca&amp;id=urn:contentItem:5F7T-S731-FFFC-B0K2-00000-00&amp;context=" TargetMode="External" /><Relationship Id="rId519" Type="http://schemas.openxmlformats.org/officeDocument/2006/relationships/header" Target="header58.xml" /><Relationship Id="rId52" Type="http://schemas.openxmlformats.org/officeDocument/2006/relationships/header" Target="header7.xml" /><Relationship Id="rId520" Type="http://schemas.openxmlformats.org/officeDocument/2006/relationships/header" Target="header59.xml" /><Relationship Id="rId521" Type="http://schemas.openxmlformats.org/officeDocument/2006/relationships/footer" Target="footer58.xml" /><Relationship Id="rId522" Type="http://schemas.openxmlformats.org/officeDocument/2006/relationships/footer" Target="footer59.xml" /><Relationship Id="rId523" Type="http://schemas.openxmlformats.org/officeDocument/2006/relationships/header" Target="header60.xml" /><Relationship Id="rId524" Type="http://schemas.openxmlformats.org/officeDocument/2006/relationships/footer" Target="footer60.xml" /><Relationship Id="rId525" Type="http://schemas.openxmlformats.org/officeDocument/2006/relationships/hyperlink" Target="https://advance.lexis.com/api/document?collection=cases-ca&amp;id=urn:contentItem:5M7G-Y311-JJ1H-X0P6-00000-00&amp;context=" TargetMode="External" /><Relationship Id="rId526" Type="http://schemas.openxmlformats.org/officeDocument/2006/relationships/hyperlink" Target="https://advance.lexis.com/api/document?collection=cases-ca&amp;id=urn:contentItem:5JYW-JPX1-JC0G-61MS-00000-00&amp;context=" TargetMode="External" /><Relationship Id="rId527" Type="http://schemas.openxmlformats.org/officeDocument/2006/relationships/hyperlink" Target="https://advance.lexis.com/api/document?collection=legislation-ca&amp;id=urn:contentItem:5F41-1FM1-JCBX-S1FM-00000-00&amp;context=" TargetMode="External" /><Relationship Id="rId528" Type="http://schemas.openxmlformats.org/officeDocument/2006/relationships/hyperlink" Target="https://advance.lexis.com/api/document?collection=legislation-ca&amp;id=urn:contentItem:5F41-1FM1-JG59-220T-00000-00&amp;context=" TargetMode="External" /><Relationship Id="rId529" Type="http://schemas.openxmlformats.org/officeDocument/2006/relationships/hyperlink" Target="https://advance.lexis.com/api/document?collection=cases-ca&amp;id=urn:contentItem:5KHN-KX81-JWR6-S43H-00000-00&amp;context=" TargetMode="External" /><Relationship Id="rId53" Type="http://schemas.openxmlformats.org/officeDocument/2006/relationships/header" Target="header8.xml" /><Relationship Id="rId530" Type="http://schemas.openxmlformats.org/officeDocument/2006/relationships/hyperlink" Target="https://advance.lexis.com/api/document?collection=cases-ca&amp;id=urn:contentItem:5F7T-S751-JP4G-61FN-00000-00&amp;context=" TargetMode="External" /><Relationship Id="rId531" Type="http://schemas.openxmlformats.org/officeDocument/2006/relationships/hyperlink" Target="https://advance.lexis.com/api/document?collection=cases-ca&amp;id=urn:contentItem:5F7T-S761-JGHR-M2DJ-00000-00&amp;context=" TargetMode="External" /><Relationship Id="rId532" Type="http://schemas.openxmlformats.org/officeDocument/2006/relationships/hyperlink" Target="https://advance.lexis.com/api/document?collection=cases-ca&amp;id=urn:contentItem:5F7T-S7P1-F2TK-23KM-00000-00&amp;context=" TargetMode="External" /><Relationship Id="rId533" Type="http://schemas.openxmlformats.org/officeDocument/2006/relationships/hyperlink" Target="https://advance.lexis.com/api/document?collection=cases-ca&amp;id=urn:contentItem:5F7T-S7P1-JNJT-B2VD-00000-00&amp;context=" TargetMode="External" /><Relationship Id="rId534" Type="http://schemas.openxmlformats.org/officeDocument/2006/relationships/hyperlink" Target="https://advance.lexis.com/api/document?collection=cases-ca&amp;id=urn:contentItem:5GCD-KK01-JNJT-B16B-00000-00&amp;context=" TargetMode="External" /><Relationship Id="rId535" Type="http://schemas.openxmlformats.org/officeDocument/2006/relationships/hyperlink" Target="https://advance.lexis.com/api/document?collection=cases-ca&amp;id=urn:contentItem:5F8T-N3V1-JTGH-B1HX-00000-00&amp;context=" TargetMode="External" /><Relationship Id="rId536" Type="http://schemas.openxmlformats.org/officeDocument/2006/relationships/hyperlink" Target="https://advance.lexis.com/api/document?collection=cases-ca&amp;id=urn:contentItem:5F8T-N3V1-JTGH-B19N-00000-00&amp;context=" TargetMode="External" /><Relationship Id="rId537" Type="http://schemas.openxmlformats.org/officeDocument/2006/relationships/hyperlink" Target="https://advance.lexis.com/api/document?collection=cases-ca&amp;id=urn:contentItem:5F7T-S6T1-JJ1H-X2BY-00000-00&amp;context=" TargetMode="External" /><Relationship Id="rId538" Type="http://schemas.openxmlformats.org/officeDocument/2006/relationships/hyperlink" Target="https://advance.lexis.com/api/document?collection=cases-ca&amp;id=urn:contentItem:5F8T-N3T1-JFKM-6549-00000-00&amp;context=" TargetMode="External" /><Relationship Id="rId539" Type="http://schemas.openxmlformats.org/officeDocument/2006/relationships/hyperlink" Target="https://advance.lexis.com/api/document?collection=cases-ca&amp;id=urn:contentItem:5F8T-N3S1-JT99-250W-00000-00&amp;context=" TargetMode="External" /><Relationship Id="rId54" Type="http://schemas.openxmlformats.org/officeDocument/2006/relationships/footer" Target="footer7.xml" /><Relationship Id="rId540" Type="http://schemas.openxmlformats.org/officeDocument/2006/relationships/hyperlink" Target="https://advance.lexis.com/api/document?collection=cases-ca&amp;id=urn:contentItem:5F8T-N3S1-JT99-250X-00000-00&amp;context=" TargetMode="External" /><Relationship Id="rId541" Type="http://schemas.openxmlformats.org/officeDocument/2006/relationships/hyperlink" Target="https://advance.lexis.com/api/document?collection=cases-ca&amp;id=urn:contentItem:5F8T-N3S1-JT99-250Y-00000-00&amp;context=" TargetMode="External" /><Relationship Id="rId542" Type="http://schemas.openxmlformats.org/officeDocument/2006/relationships/hyperlink" Target="https://advance.lexis.com/api/document?collection=cases-ca&amp;id=urn:contentItem:5F7T-S7H1-F4GK-M3DN-00000-00&amp;context=" TargetMode="External" /><Relationship Id="rId543" Type="http://schemas.openxmlformats.org/officeDocument/2006/relationships/hyperlink" Target="https://advance.lexis.com/api/document?collection=cases-ca&amp;id=urn:contentItem:5F82-1SH1-JF1Y-B2V8-00000-00&amp;context=" TargetMode="External" /><Relationship Id="rId544" Type="http://schemas.openxmlformats.org/officeDocument/2006/relationships/hyperlink" Target="https://advance.lexis.com/api/document?collection=cases-ca&amp;id=urn:contentItem:5F7T-S7D1-JN6B-S0S6-00000-00&amp;context=" TargetMode="External" /><Relationship Id="rId545" Type="http://schemas.openxmlformats.org/officeDocument/2006/relationships/hyperlink" Target="https://advance.lexis.com/api/document?collection=cases-ca&amp;id=urn:contentItem:5F7T-S7C1-FCSB-S28G-00000-00&amp;context=" TargetMode="External" /><Relationship Id="rId546" Type="http://schemas.openxmlformats.org/officeDocument/2006/relationships/hyperlink" Target="https://advance.lexis.com/api/document?collection=cases-ca&amp;id=urn:contentItem:5F82-1SF1-JKPJ-G2DP-00000-00&amp;context=" TargetMode="External" /><Relationship Id="rId547" Type="http://schemas.openxmlformats.org/officeDocument/2006/relationships/hyperlink" Target="https://advance.lexis.com/api/document?collection=cases-ca&amp;id=urn:contentItem:5F16-93C1-DY89-M2SR-00000-00&amp;context=" TargetMode="External" /><Relationship Id="rId548" Type="http://schemas.openxmlformats.org/officeDocument/2006/relationships/hyperlink" Target="https://advance.lexis.com/api/document?collection=cases-ca&amp;id=urn:contentItem:5F16-93C1-JSJC-X4NX-00000-00&amp;context=" TargetMode="External" /><Relationship Id="rId549" Type="http://schemas.openxmlformats.org/officeDocument/2006/relationships/hyperlink" Target="https://advance.lexis.com/api/document?collection=cases-ca&amp;id=urn:contentItem:5F8P-SF71-JWR6-S3WP-00000-00&amp;context=" TargetMode="External" /><Relationship Id="rId55" Type="http://schemas.openxmlformats.org/officeDocument/2006/relationships/footer" Target="footer8.xml" /><Relationship Id="rId550" Type="http://schemas.openxmlformats.org/officeDocument/2006/relationships/hyperlink" Target="https://advance.lexis.com/api/document?collection=cases-ca&amp;id=urn:contentItem:5F82-1SH1-F8KH-X276-00000-00&amp;context=" TargetMode="External" /><Relationship Id="rId551" Type="http://schemas.openxmlformats.org/officeDocument/2006/relationships/hyperlink" Target="https://advance.lexis.com/api/document?collection=cases-ca&amp;id=urn:contentItem:5F82-1SJ1-JCRC-B09Y-00000-00&amp;context=" TargetMode="External" /><Relationship Id="rId552" Type="http://schemas.openxmlformats.org/officeDocument/2006/relationships/hyperlink" Target="https://advance.lexis.com/api/document?collection=cases-ca&amp;id=urn:contentItem:5F16-9361-DY89-M1WB-00000-00&amp;context=" TargetMode="External" /><Relationship Id="rId553" Type="http://schemas.openxmlformats.org/officeDocument/2006/relationships/hyperlink" Target="https://advance.lexis.com/api/document?collection=cases-ca&amp;id=urn:contentItem:5F8T-N3V1-JTGH-B0Y9-00000-00&amp;context=" TargetMode="External" /><Relationship Id="rId554" Type="http://schemas.openxmlformats.org/officeDocument/2006/relationships/hyperlink" Target="https://advance.lexis.com/api/document?collection=cases-ca&amp;id=urn:contentItem:5F16-93D1-JN6B-S1WR-00000-00&amp;context=" TargetMode="External" /><Relationship Id="rId555" Type="http://schemas.openxmlformats.org/officeDocument/2006/relationships/hyperlink" Target="https://advance.lexis.com/api/document?collection=cases-ca&amp;id=urn:contentItem:5F82-1SK1-F7VM-S009-00000-00&amp;context=" TargetMode="External" /><Relationship Id="rId556" Type="http://schemas.openxmlformats.org/officeDocument/2006/relationships/header" Target="header61.xml" /><Relationship Id="rId557" Type="http://schemas.openxmlformats.org/officeDocument/2006/relationships/header" Target="header62.xml" /><Relationship Id="rId558" Type="http://schemas.openxmlformats.org/officeDocument/2006/relationships/footer" Target="footer61.xml" /><Relationship Id="rId559" Type="http://schemas.openxmlformats.org/officeDocument/2006/relationships/footer" Target="footer62.xml" /><Relationship Id="rId56" Type="http://schemas.openxmlformats.org/officeDocument/2006/relationships/header" Target="header9.xml" /><Relationship Id="rId560" Type="http://schemas.openxmlformats.org/officeDocument/2006/relationships/header" Target="header63.xml" /><Relationship Id="rId561" Type="http://schemas.openxmlformats.org/officeDocument/2006/relationships/footer" Target="footer63.xml" /><Relationship Id="rId562" Type="http://schemas.openxmlformats.org/officeDocument/2006/relationships/hyperlink" Target="https://advance.lexis.com/api/document?collection=cases-ca&amp;id=urn:contentItem:5F7T-S7P1-JNJT-B2KY-00000-00&amp;context=" TargetMode="External" /><Relationship Id="rId563" Type="http://schemas.openxmlformats.org/officeDocument/2006/relationships/hyperlink" Target="https://advance.lexis.com/api/document?collection=cases-ca&amp;id=urn:contentItem:5F7T-S7P1-JSJC-X1GW-00000-00&amp;context=" TargetMode="External" /><Relationship Id="rId564" Type="http://schemas.openxmlformats.org/officeDocument/2006/relationships/hyperlink" Target="https://advance.lexis.com/api/document?collection=cases-ca&amp;id=urn:contentItem:5F7T-S7K1-JSJC-X168-00000-00&amp;context=" TargetMode="External" /><Relationship Id="rId565" Type="http://schemas.openxmlformats.org/officeDocument/2006/relationships/hyperlink" Target="https://advance.lexis.com/api/document?collection=cases-ca&amp;id=urn:contentItem:5F7T-S7F1-F7VM-S475-00000-00&amp;context=" TargetMode="External" /><Relationship Id="rId566" Type="http://schemas.openxmlformats.org/officeDocument/2006/relationships/hyperlink" Target="https://advance.lexis.com/api/document?collection=cases-ca&amp;id=urn:contentItem:5F7T-S7G1-FCYK-207V-00000-00&amp;context=" TargetMode="External" /><Relationship Id="rId567" Type="http://schemas.openxmlformats.org/officeDocument/2006/relationships/hyperlink" Target="https://advance.lexis.com/api/document?collection=cases-ca&amp;id=urn:contentItem:5F7T-S7K1-JSJC-X0R5-00000-00&amp;context=" TargetMode="External" /><Relationship Id="rId568" Type="http://schemas.openxmlformats.org/officeDocument/2006/relationships/hyperlink" Target="https://advance.lexis.com/api/document?collection=cases-ca&amp;id=urn:contentItem:5F7T-S701-JF75-M4N2-00000-00&amp;context=" TargetMode="External" /><Relationship Id="rId569" Type="http://schemas.openxmlformats.org/officeDocument/2006/relationships/hyperlink" Target="https://advance.lexis.com/api/document?collection=cases-ca&amp;id=urn:contentItem:5F7T-S6W1-JYYX-61TX-00000-00&amp;context=" TargetMode="External" /><Relationship Id="rId57" Type="http://schemas.openxmlformats.org/officeDocument/2006/relationships/footer" Target="footer9.xml" /><Relationship Id="rId570" Type="http://schemas.openxmlformats.org/officeDocument/2006/relationships/hyperlink" Target="https://advance.lexis.com/api/document?collection=cases-ca&amp;id=urn:contentItem:5F7T-S7P1-JG02-S46D-00000-00&amp;context=" TargetMode="External" /><Relationship Id="rId571" Type="http://schemas.openxmlformats.org/officeDocument/2006/relationships/hyperlink" Target="https://advance.lexis.com/api/document?collection=cases-ca&amp;id=urn:contentItem:5F7T-S771-JN14-G2PR-00000-00&amp;context=" TargetMode="External" /><Relationship Id="rId572" Type="http://schemas.openxmlformats.org/officeDocument/2006/relationships/hyperlink" Target="https://advance.lexis.com/api/document?collection=cases-ca&amp;id=urn:contentItem:5F7T-S7K1-JSJC-X12X-00000-00&amp;context=" TargetMode="External" /><Relationship Id="rId573" Type="http://schemas.openxmlformats.org/officeDocument/2006/relationships/hyperlink" Target="https://advance.lexis.com/api/document?collection=cases-ca&amp;id=urn:contentItem:5F7T-S721-F4NT-X2FR-00000-00&amp;context=" TargetMode="External" /><Relationship Id="rId574" Type="http://schemas.openxmlformats.org/officeDocument/2006/relationships/hyperlink" Target="https://advance.lexis.com/api/document?collection=cases-ca&amp;id=urn:contentItem:5F8T-N3V1-FC1F-M4BC-00000-00&amp;context=" TargetMode="External" /><Relationship Id="rId575" Type="http://schemas.openxmlformats.org/officeDocument/2006/relationships/hyperlink" Target="https://advance.lexis.com/api/document?collection=cases-ca&amp;id=urn:contentItem:5F7T-S771-JSJC-X038-00000-00&amp;context=" TargetMode="External" /><Relationship Id="rId576" Type="http://schemas.openxmlformats.org/officeDocument/2006/relationships/hyperlink" Target="https://advance.lexis.com/api/document?collection=cases-ca&amp;id=urn:contentItem:5F7T-S761-F81W-222K-00000-00&amp;context=" TargetMode="External" /><Relationship Id="rId577" Type="http://schemas.openxmlformats.org/officeDocument/2006/relationships/hyperlink" Target="https://advance.lexis.com/api/document?collection=cases-ca&amp;id=urn:contentItem:5F7T-S781-JSC5-M4GD-00000-00&amp;context=" TargetMode="External" /><Relationship Id="rId578" Type="http://schemas.openxmlformats.org/officeDocument/2006/relationships/hyperlink" Target="https://advance.lexis.com/api/document?collection=cases-ca&amp;id=urn:contentItem:5F7T-S7C1-F7VM-S3NW-00000-00&amp;context=" TargetMode="External" /><Relationship Id="rId579" Type="http://schemas.openxmlformats.org/officeDocument/2006/relationships/hyperlink" Target="https://advance.lexis.com/api/document?collection=cases-ca&amp;id=urn:contentItem:5F7T-S741-F8D9-M1MM-00000-00&amp;context=" TargetMode="External" /><Relationship Id="rId58" Type="http://schemas.openxmlformats.org/officeDocument/2006/relationships/hyperlink" Target="https://advance.lexis.com/api/document?collection=cases-ca&amp;id=urn:contentItem:5PCM-GRX1-JGPY-X1MW-00000-00&amp;context=" TargetMode="External" /><Relationship Id="rId580" Type="http://schemas.openxmlformats.org/officeDocument/2006/relationships/hyperlink" Target="https://advance.lexis.com/api/document?collection=cases-ca&amp;id=urn:contentItem:5F8T-N3T1-JJSF-2361-00000-00&amp;context=" TargetMode="External" /><Relationship Id="rId581" Type="http://schemas.openxmlformats.org/officeDocument/2006/relationships/hyperlink" Target="https://advance.lexis.com/api/document?collection=cases-ca&amp;id=urn:contentItem:5F7T-S6W1-JB7K-21F4-00000-00&amp;context=" TargetMode="External" /><Relationship Id="rId582" Type="http://schemas.openxmlformats.org/officeDocument/2006/relationships/hyperlink" Target="https://advance.lexis.com/api/document?collection=cases-ca&amp;id=urn:contentItem:5F7T-S711-FJDY-X3FK-00000-00&amp;context=" TargetMode="External" /><Relationship Id="rId583" Type="http://schemas.openxmlformats.org/officeDocument/2006/relationships/image" Target="media/image2.jpeg" /><Relationship Id="rId584" Type="http://schemas.openxmlformats.org/officeDocument/2006/relationships/image" Target="media/image3.jpeg" /><Relationship Id="rId585" Type="http://schemas.openxmlformats.org/officeDocument/2006/relationships/image" Target="media/image4.png" /><Relationship Id="rId586" Type="http://schemas.openxmlformats.org/officeDocument/2006/relationships/image" Target="media/image5.jpeg" /><Relationship Id="rId587" Type="http://schemas.openxmlformats.org/officeDocument/2006/relationships/hyperlink" Target="https://advance.lexis.com/api/document?collection=cases-ca&amp;id=urn:contentItem:5F7T-S7H1-JFSV-G30P-00000-00&amp;context=" TargetMode="External" /><Relationship Id="rId588" Type="http://schemas.openxmlformats.org/officeDocument/2006/relationships/hyperlink" Target="https://advance.lexis.com/api/document?collection=cases-ca&amp;id=urn:contentItem:5F7T-S791-JCJ5-251B-00000-00&amp;context=" TargetMode="External" /><Relationship Id="rId589" Type="http://schemas.openxmlformats.org/officeDocument/2006/relationships/header" Target="header64.xml" /><Relationship Id="rId59" Type="http://schemas.openxmlformats.org/officeDocument/2006/relationships/hyperlink" Target="https://advance.lexis.com/api/document?collection=legislation-ca&amp;id=urn:contentItem:5F9J-MWT1-F4GK-M55C-00000-00&amp;context=" TargetMode="External" /><Relationship Id="rId590" Type="http://schemas.openxmlformats.org/officeDocument/2006/relationships/header" Target="header65.xml" /><Relationship Id="rId591" Type="http://schemas.openxmlformats.org/officeDocument/2006/relationships/footer" Target="footer64.xml" /><Relationship Id="rId592" Type="http://schemas.openxmlformats.org/officeDocument/2006/relationships/footer" Target="footer65.xml" /><Relationship Id="rId593" Type="http://schemas.openxmlformats.org/officeDocument/2006/relationships/header" Target="header66.xml" /><Relationship Id="rId594" Type="http://schemas.openxmlformats.org/officeDocument/2006/relationships/footer" Target="footer66.xml" /><Relationship Id="rId595" Type="http://schemas.openxmlformats.org/officeDocument/2006/relationships/hyperlink" Target="https://advance.lexis.com/api/document?collection=cases-ca&amp;id=urn:contentItem:5F7T-S7P1-JCRC-B230-00000-00&amp;context=" TargetMode="External" /><Relationship Id="rId596" Type="http://schemas.openxmlformats.org/officeDocument/2006/relationships/hyperlink" Target="https://advance.lexis.com/api/document?collection=legislation-ca&amp;id=urn:contentItem:5F3B-BCD1-F60C-X131-00000-00&amp;context=" TargetMode="External" /><Relationship Id="rId597" Type="http://schemas.openxmlformats.org/officeDocument/2006/relationships/hyperlink" Target="https://advance.lexis.com/api/document?collection=cases-ca&amp;id=urn:contentItem:5F7T-S7K1-JSJC-X130-00000-00&amp;context=" TargetMode="External" /><Relationship Id="rId598" Type="http://schemas.openxmlformats.org/officeDocument/2006/relationships/hyperlink" Target="https://advance.lexis.com/api/document?collection=cases-ca&amp;id=urn:contentItem:5F7T-S6Y1-JP9P-G1KT-00000-00&amp;context=" TargetMode="External" /><Relationship Id="rId599" Type="http://schemas.openxmlformats.org/officeDocument/2006/relationships/hyperlink" Target="https://advance.lexis.com/api/document?collection=cases-ca&amp;id=urn:contentItem:5F7T-S7K1-F1H1-220K-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NP8-3TH1-JSJC-X2F4-00000-00&amp;context=" TargetMode="External" /><Relationship Id="rId600" Type="http://schemas.openxmlformats.org/officeDocument/2006/relationships/header" Target="header67.xml" /><Relationship Id="rId601" Type="http://schemas.openxmlformats.org/officeDocument/2006/relationships/header" Target="header68.xml" /><Relationship Id="rId602" Type="http://schemas.openxmlformats.org/officeDocument/2006/relationships/footer" Target="footer67.xml" /><Relationship Id="rId603" Type="http://schemas.openxmlformats.org/officeDocument/2006/relationships/footer" Target="footer68.xml" /><Relationship Id="rId604" Type="http://schemas.openxmlformats.org/officeDocument/2006/relationships/header" Target="header69.xml" /><Relationship Id="rId605" Type="http://schemas.openxmlformats.org/officeDocument/2006/relationships/footer" Target="footer69.xml" /><Relationship Id="rId606" Type="http://schemas.openxmlformats.org/officeDocument/2006/relationships/hyperlink" Target="https://advance.lexis.com/api/document?collection=cases-ca&amp;id=urn:contentItem:5V14-RM31-FJTD-G0MF-00000-00&amp;context=" TargetMode="External" /><Relationship Id="rId607" Type="http://schemas.openxmlformats.org/officeDocument/2006/relationships/hyperlink" Target="https://advance.lexis.com/api/document?collection=cases-ca&amp;id=urn:contentItem:5T0J-H271-JFDC-X2WW-00000-00&amp;context=" TargetMode="External" /><Relationship Id="rId608" Type="http://schemas.openxmlformats.org/officeDocument/2006/relationships/hyperlink" Target="https://advance.lexis.com/api/document?collection=cases-ca&amp;id=urn:contentItem:5HX7-VJ11-FCSB-S401-00000-00&amp;context=" TargetMode="External" /><Relationship Id="rId609" Type="http://schemas.openxmlformats.org/officeDocument/2006/relationships/hyperlink" Target="https://advance.lexis.com/api/document?collection=cases-ca&amp;id=urn:contentItem:5F7T-S7K1-F528-G2R4-00000-00&amp;context=" TargetMode="External" /><Relationship Id="rId61" Type="http://schemas.openxmlformats.org/officeDocument/2006/relationships/hyperlink" Target="https://advance.lexis.com/api/document?collection=legislation-ca&amp;id=urn:contentItem:5F41-1FN1-JBDT-B0J5-00000-00&amp;context=" TargetMode="External" /><Relationship Id="rId610" Type="http://schemas.openxmlformats.org/officeDocument/2006/relationships/hyperlink" Target="https://advance.lexis.com/api/document?collection=cases-ca&amp;id=urn:contentItem:5F8T-N3V1-FC1F-M455-00000-00&amp;context=" TargetMode="External" /><Relationship Id="rId611" Type="http://schemas.openxmlformats.org/officeDocument/2006/relationships/hyperlink" Target="https://advance.lexis.com/api/document?collection=cases-ca&amp;id=urn:contentItem:5F8T-N3T1-JGHR-M1TG-00000-00&amp;context=" TargetMode="External" /><Relationship Id="rId612" Type="http://schemas.openxmlformats.org/officeDocument/2006/relationships/hyperlink" Target="https://advance.lexis.com/api/document?collection=cases-ca&amp;id=urn:contentItem:5HWC-YXF1-F60C-X4P2-00000-00&amp;context=" TargetMode="External" /><Relationship Id="rId613" Type="http://schemas.openxmlformats.org/officeDocument/2006/relationships/hyperlink" Target="https://advance.lexis.com/api/document?collection=cases-ca&amp;id=urn:contentItem:5F7T-S761-JGHR-M2JM-00000-00&amp;context=" TargetMode="External" /><Relationship Id="rId614" Type="http://schemas.openxmlformats.org/officeDocument/2006/relationships/hyperlink" Target="https://advance.lexis.com/api/document?collection=cases-ca&amp;id=urn:contentItem:5F7T-S7F1-DXWW-23PX-00000-00&amp;context=" TargetMode="External" /><Relationship Id="rId615" Type="http://schemas.openxmlformats.org/officeDocument/2006/relationships/hyperlink" Target="https://advance.lexis.com/api/document?collection=cases-ca&amp;id=urn:contentItem:5F7T-S7F1-FBN1-21G0-00000-00&amp;context=" TargetMode="External" /><Relationship Id="rId616" Type="http://schemas.openxmlformats.org/officeDocument/2006/relationships/hyperlink" Target="https://advance.lexis.com/api/document?collection=cases-ca&amp;id=urn:contentItem:5RW6-NFJ1-F06F-2390-00000-00&amp;context=" TargetMode="External" /><Relationship Id="rId617" Type="http://schemas.openxmlformats.org/officeDocument/2006/relationships/hyperlink" Target="https://advance.lexis.com/api/document?collection=cases-ca&amp;id=urn:contentItem:5JRX-F801-JBM1-M1MC-00000-00&amp;context=" TargetMode="External" /><Relationship Id="rId618" Type="http://schemas.openxmlformats.org/officeDocument/2006/relationships/hyperlink" Target="https://advance.lexis.com/api/document?collection=cases-ca&amp;id=urn:contentItem:5F7T-S7K1-JNY7-X49Y-00000-00&amp;context=" TargetMode="External" /><Relationship Id="rId619" Type="http://schemas.openxmlformats.org/officeDocument/2006/relationships/hyperlink" Target="https://advance.lexis.com/api/document?collection=cases-ca&amp;id=urn:contentItem:5F7T-S7K1-JX3N-B2MD-00000-00&amp;context=" TargetMode="External" /><Relationship Id="rId62" Type="http://schemas.openxmlformats.org/officeDocument/2006/relationships/hyperlink" Target="https://advance.lexis.com/api/document?collection=cases-ca&amp;id=urn:contentItem:5F7T-S701-JF75-M4J3-00000-00&amp;context=" TargetMode="External" /><Relationship Id="rId620" Type="http://schemas.openxmlformats.org/officeDocument/2006/relationships/hyperlink" Target="https://advance.lexis.com/api/document?collection=cases-ca&amp;id=urn:contentItem:5F7T-S6T1-F361-M035-00000-00&amp;context=" TargetMode="External" /><Relationship Id="rId621" Type="http://schemas.openxmlformats.org/officeDocument/2006/relationships/hyperlink" Target="https://advance.lexis.com/api/document?collection=cases-ca&amp;id=urn:contentItem:5F7T-S741-DXPM-S12G-00000-00&amp;context=" TargetMode="External" /><Relationship Id="rId622" Type="http://schemas.openxmlformats.org/officeDocument/2006/relationships/hyperlink" Target="https://advance.lexis.com/api/document?collection=cases-ca&amp;id=urn:contentItem:5F7T-S741-F57G-S1NV-00000-00&amp;context=" TargetMode="External" /><Relationship Id="rId623" Type="http://schemas.openxmlformats.org/officeDocument/2006/relationships/hyperlink" Target="https://advance.lexis.com/api/document?collection=cases-ca&amp;id=urn:contentItem:5PVV-JWM1-JCJ5-21V6-00000-00&amp;context=" TargetMode="External" /><Relationship Id="rId624" Type="http://schemas.openxmlformats.org/officeDocument/2006/relationships/hyperlink" Target="https://advance.lexis.com/api/document?collection=cases-ca&amp;id=urn:contentItem:5G77-HXG1-FCK4-G3XF-00000-00&amp;context=" TargetMode="External" /><Relationship Id="rId625" Type="http://schemas.openxmlformats.org/officeDocument/2006/relationships/hyperlink" Target="https://advance.lexis.com/api/document?collection=cases-ca&amp;id=urn:contentItem:5F8T-N3P1-JYYX-60P9-00000-00&amp;context=" TargetMode="External" /><Relationship Id="rId626" Type="http://schemas.openxmlformats.org/officeDocument/2006/relationships/hyperlink" Target="https://advance.lexis.com/api/document?collection=cases-ca&amp;id=urn:contentItem:5F8T-N3R1-FBV7-B0G3-00000-00&amp;context=" TargetMode="External" /><Relationship Id="rId627" Type="http://schemas.openxmlformats.org/officeDocument/2006/relationships/hyperlink" Target="https://advance.lexis.com/api/document?collection=cases-ca&amp;id=urn:contentItem:5F8T-N3V1-JTGH-B11G-00000-00&amp;context=" TargetMode="External" /><Relationship Id="rId628" Type="http://schemas.openxmlformats.org/officeDocument/2006/relationships/hyperlink" Target="https://advance.lexis.com/api/document?collection=cases-ca&amp;id=urn:contentItem:5F8T-N3P1-F956-S16G-00000-00&amp;context=" TargetMode="External" /><Relationship Id="rId629" Type="http://schemas.openxmlformats.org/officeDocument/2006/relationships/hyperlink" Target="https://advance.lexis.com/api/document?collection=cases-ca&amp;id=urn:contentItem:5F8T-N3V1-FH4C-X1X1-00000-00&amp;context=" TargetMode="External" /><Relationship Id="rId63" Type="http://schemas.openxmlformats.org/officeDocument/2006/relationships/hyperlink" Target="https://advance.lexis.com/api/document?collection=cases-ca&amp;id=urn:contentItem:5JBT-WT01-JT42-S15D-00000-00&amp;context=" TargetMode="External" /><Relationship Id="rId630" Type="http://schemas.openxmlformats.org/officeDocument/2006/relationships/hyperlink" Target="https://advance.lexis.com/api/document?collection=cases-ca&amp;id=urn:contentItem:5F8T-N3P1-F956-S1C6-00000-00&amp;context=" TargetMode="External" /><Relationship Id="rId631" Type="http://schemas.openxmlformats.org/officeDocument/2006/relationships/header" Target="header70.xml" /><Relationship Id="rId632" Type="http://schemas.openxmlformats.org/officeDocument/2006/relationships/header" Target="header71.xml" /><Relationship Id="rId633" Type="http://schemas.openxmlformats.org/officeDocument/2006/relationships/footer" Target="footer70.xml" /><Relationship Id="rId634" Type="http://schemas.openxmlformats.org/officeDocument/2006/relationships/footer" Target="footer71.xml" /><Relationship Id="rId635" Type="http://schemas.openxmlformats.org/officeDocument/2006/relationships/header" Target="header72.xml" /><Relationship Id="rId636" Type="http://schemas.openxmlformats.org/officeDocument/2006/relationships/footer" Target="footer72.xml" /><Relationship Id="rId637" Type="http://schemas.openxmlformats.org/officeDocument/2006/relationships/hyperlink" Target="https://advance.lexis.com/api/document?collection=cases-ca&amp;id=urn:contentItem:5F7T-S7F1-DXWW-23JG-00000-00&amp;context=" TargetMode="External" /><Relationship Id="rId638" Type="http://schemas.openxmlformats.org/officeDocument/2006/relationships/hyperlink" Target="https://advance.lexis.com/api/document?collection=legislation-ca&amp;id=urn:contentItem:5F41-1FJ1-F5DR-206Y-00000-00&amp;context=" TargetMode="External" /><Relationship Id="rId639" Type="http://schemas.openxmlformats.org/officeDocument/2006/relationships/hyperlink" Target="https://advance.lexis.com/api/document?collection=cases-ca&amp;id=urn:contentItem:5F8T-N3P1-F7ND-G1H1-00000-00&amp;context=" TargetMode="External" /><Relationship Id="rId64" Type="http://schemas.openxmlformats.org/officeDocument/2006/relationships/hyperlink" Target="https://advance.lexis.com/api/document?collection=cases-ca&amp;id=urn:contentItem:5GCC-XV91-JSXV-G560-00000-00&amp;context=" TargetMode="External" /><Relationship Id="rId640" Type="http://schemas.openxmlformats.org/officeDocument/2006/relationships/hyperlink" Target="https://advance.lexis.com/api/document?collection=cases-ca&amp;id=urn:contentItem:5F81-VJV1-DYFH-X478-00000-00&amp;context=" TargetMode="External" /><Relationship Id="rId641" Type="http://schemas.openxmlformats.org/officeDocument/2006/relationships/hyperlink" Target="https://advance.lexis.com/api/document?collection=cases-ca&amp;id=urn:contentItem:5F8T-N3T1-JGHR-M24N-00000-00&amp;context=" TargetMode="External" /><Relationship Id="rId642" Type="http://schemas.openxmlformats.org/officeDocument/2006/relationships/hyperlink" Target="https://advance.lexis.com/api/document?collection=cases-ca&amp;id=urn:contentItem:5F7T-S7C1-F4NT-X3JG-00000-00&amp;context=" TargetMode="External" /><Relationship Id="rId643" Type="http://schemas.openxmlformats.org/officeDocument/2006/relationships/hyperlink" Target="https://advance.lexis.com/api/document?collection=cases-ca&amp;id=urn:contentItem:5F7T-S6Y1-F81W-214W-00000-00&amp;context=" TargetMode="External" /><Relationship Id="rId644" Type="http://schemas.openxmlformats.org/officeDocument/2006/relationships/hyperlink" Target="https://advance.lexis.com/api/document?collection=cases-ca&amp;id=urn:contentItem:5F7T-S771-JWBS-61MN-00000-00&amp;context=" TargetMode="External" /><Relationship Id="rId645" Type="http://schemas.openxmlformats.org/officeDocument/2006/relationships/hyperlink" Target="https://advance.lexis.com/api/document?collection=cases-ca&amp;id=urn:contentItem:5F7T-S701-JJ6S-61WS-00000-00&amp;context=" TargetMode="External" /><Relationship Id="rId646" Type="http://schemas.openxmlformats.org/officeDocument/2006/relationships/hyperlink" Target="https://advance.lexis.com/api/document?collection=cases-ca&amp;id=urn:contentItem:5F7T-S711-JNY7-X3DS-00000-00&amp;context=" TargetMode="External" /><Relationship Id="rId647" Type="http://schemas.openxmlformats.org/officeDocument/2006/relationships/hyperlink" Target="https://advance.lexis.com/api/document?collection=cases-ca&amp;id=urn:contentItem:5F7T-S731-FFFC-B0D7-00000-00&amp;context=" TargetMode="External" /><Relationship Id="rId648" Type="http://schemas.openxmlformats.org/officeDocument/2006/relationships/header" Target="header73.xml" /><Relationship Id="rId649" Type="http://schemas.openxmlformats.org/officeDocument/2006/relationships/header" Target="header74.xml" /><Relationship Id="rId65" Type="http://schemas.openxmlformats.org/officeDocument/2006/relationships/hyperlink" Target="https://advance.lexis.com/api/document?collection=cases-ca&amp;id=urn:contentItem:5F7T-S721-F06F-2327-00000-00&amp;context=" TargetMode="External" /><Relationship Id="rId650" Type="http://schemas.openxmlformats.org/officeDocument/2006/relationships/footer" Target="footer73.xml" /><Relationship Id="rId651" Type="http://schemas.openxmlformats.org/officeDocument/2006/relationships/footer" Target="footer74.xml" /><Relationship Id="rId652" Type="http://schemas.openxmlformats.org/officeDocument/2006/relationships/header" Target="header75.xml" /><Relationship Id="rId653" Type="http://schemas.openxmlformats.org/officeDocument/2006/relationships/footer" Target="footer75.xml" /><Relationship Id="rId654" Type="http://schemas.openxmlformats.org/officeDocument/2006/relationships/hyperlink" Target="https://advance.lexis.com/api/document?collection=cases-ca&amp;id=urn:contentItem:5F7T-S7P1-JG02-S4CP-00000-00&amp;context=" TargetMode="External" /><Relationship Id="rId655" Type="http://schemas.openxmlformats.org/officeDocument/2006/relationships/hyperlink" Target="https://advance.lexis.com/api/document?collection=cases-ca&amp;id=urn:contentItem:5F7T-S6T1-JJ1H-X20X-00000-00&amp;context=" TargetMode="External" /><Relationship Id="rId656" Type="http://schemas.openxmlformats.org/officeDocument/2006/relationships/hyperlink" Target="https://advance.lexis.com/api/document?collection=cases-ca&amp;id=urn:contentItem:5F7T-S6V1-F956-S051-00000-00&amp;context=" TargetMode="External" /><Relationship Id="rId657" Type="http://schemas.openxmlformats.org/officeDocument/2006/relationships/hyperlink" Target="https://advance.lexis.com/api/document?collection=cases-ca&amp;id=urn:contentItem:5F7T-S7F1-DXWW-24M2-00000-00&amp;context=" TargetMode="External" /><Relationship Id="rId658" Type="http://schemas.openxmlformats.org/officeDocument/2006/relationships/hyperlink" Target="https://advance.lexis.com/api/document?collection=cases-ca&amp;id=urn:contentItem:5F7T-S7F1-JK4W-M1CY-00000-00&amp;context=" TargetMode="External" /><Relationship Id="rId659" Type="http://schemas.openxmlformats.org/officeDocument/2006/relationships/hyperlink" Target="https://advance.lexis.com/api/document?collection=cases-ca&amp;id=urn:contentItem:5F7T-S7P1-JCRC-B271-00000-00&amp;context=" TargetMode="External" /><Relationship Id="rId66" Type="http://schemas.openxmlformats.org/officeDocument/2006/relationships/hyperlink" Target="https://advance.lexis.com/api/document?collection=cases-ca&amp;id=urn:contentItem:5F7T-S7M1-JCRC-B1CN-00000-00&amp;context=" TargetMode="External" /><Relationship Id="rId660" Type="http://schemas.openxmlformats.org/officeDocument/2006/relationships/hyperlink" Target="https://advance.lexis.com/api/document?collection=cases-ca&amp;id=urn:contentItem:5F7T-S7P1-JCRC-B272-00000-00&amp;context=" TargetMode="External" /><Relationship Id="rId661" Type="http://schemas.openxmlformats.org/officeDocument/2006/relationships/hyperlink" Target="https://advance.lexis.com/api/document?collection=cases-ca&amp;id=urn:contentItem:5F7T-S7P1-F2TK-23KT-00000-00&amp;context=" TargetMode="External" /><Relationship Id="rId662" Type="http://schemas.openxmlformats.org/officeDocument/2006/relationships/hyperlink" Target="https://advance.lexis.com/api/document?collection=cases-ca&amp;id=urn:contentItem:5F7T-S7K1-DXWW-200G-00000-00&amp;context=" TargetMode="External" /><Relationship Id="rId663" Type="http://schemas.openxmlformats.org/officeDocument/2006/relationships/hyperlink" Target="https://advance.lexis.com/api/document?collection=cases-ca&amp;id=urn:contentItem:5F7T-S7K1-JSJC-X0WV-00000-00&amp;context=" TargetMode="External" /><Relationship Id="rId664" Type="http://schemas.openxmlformats.org/officeDocument/2006/relationships/hyperlink" Target="https://advance.lexis.com/api/document?collection=cases-ca&amp;id=urn:contentItem:5F7T-S7N1-JW09-M14K-00000-00&amp;context=" TargetMode="External" /><Relationship Id="rId665" Type="http://schemas.openxmlformats.org/officeDocument/2006/relationships/hyperlink" Target="https://advance.lexis.com/api/document?collection=cases-ca&amp;id=urn:contentItem:5F7T-S791-FJTD-G2TM-00000-00&amp;context=" TargetMode="External" /><Relationship Id="rId666" Type="http://schemas.openxmlformats.org/officeDocument/2006/relationships/hyperlink" Target="https://advance.lexis.com/api/document?collection=cases-ca&amp;id=urn:contentItem:5F7T-S7K1-JKHB-62RR-00000-00&amp;context=" TargetMode="External" /><Relationship Id="rId667" Type="http://schemas.openxmlformats.org/officeDocument/2006/relationships/hyperlink" Target="https://advance.lexis.com/api/document?collection=cases-ca&amp;id=urn:contentItem:5F7T-S7B1-F7ND-G53V-00000-00&amp;context=" TargetMode="External" /><Relationship Id="rId668" Type="http://schemas.openxmlformats.org/officeDocument/2006/relationships/hyperlink" Target="https://advance.lexis.com/api/document?collection=cases-ca&amp;id=urn:contentItem:5F7T-S7D1-JS5Y-B27K-00000-00&amp;context=" TargetMode="External" /><Relationship Id="rId669" Type="http://schemas.openxmlformats.org/officeDocument/2006/relationships/hyperlink" Target="https://advance.lexis.com/api/document?collection=cases-ca&amp;id=urn:contentItem:5F7T-S701-JK4W-M0N5-00000-00&amp;context=" TargetMode="External" /><Relationship Id="rId67" Type="http://schemas.openxmlformats.org/officeDocument/2006/relationships/hyperlink" Target="https://advance.lexis.com/api/document?collection=cases-ca&amp;id=urn:contentItem:5HSD-C7M1-JFSV-G4CS-00000-00&amp;context=" TargetMode="External" /><Relationship Id="rId670" Type="http://schemas.openxmlformats.org/officeDocument/2006/relationships/hyperlink" Target="https://advance.lexis.com/api/document?collection=cases-ca&amp;id=urn:contentItem:5F7T-S7K1-JNY7-X4B6-00000-00&amp;context=" TargetMode="External" /><Relationship Id="rId671" Type="http://schemas.openxmlformats.org/officeDocument/2006/relationships/hyperlink" Target="https://advance.lexis.com/api/document?collection=cases-ca&amp;id=urn:contentItem:5F7T-S771-JWBS-61CT-00000-00&amp;context=" TargetMode="External" /><Relationship Id="rId672" Type="http://schemas.openxmlformats.org/officeDocument/2006/relationships/hyperlink" Target="https://advance.lexis.com/api/document?collection=cases-ca&amp;id=urn:contentItem:5F7T-S7P1-F2TK-23G5-00000-00&amp;context=" TargetMode="External" /><Relationship Id="rId673" Type="http://schemas.openxmlformats.org/officeDocument/2006/relationships/hyperlink" Target="https://advance.lexis.com/api/document?collection=cases-ca&amp;id=urn:contentItem:5F7T-S7H1-JFSV-G38B-00000-00&amp;context=" TargetMode="External" /><Relationship Id="rId674" Type="http://schemas.openxmlformats.org/officeDocument/2006/relationships/hyperlink" Target="https://advance.lexis.com/api/document?collection=cases-ca&amp;id=urn:contentItem:5F7T-S741-F2F4-G2H4-00000-00&amp;context=" TargetMode="External" /><Relationship Id="rId675" Type="http://schemas.openxmlformats.org/officeDocument/2006/relationships/hyperlink" Target="https://advance.lexis.com/api/document?collection=cases-ca&amp;id=urn:contentItem:5F7T-S7F1-FBN1-21K2-00000-00&amp;context=" TargetMode="External" /><Relationship Id="rId676" Type="http://schemas.openxmlformats.org/officeDocument/2006/relationships/header" Target="header76.xml" /><Relationship Id="rId677" Type="http://schemas.openxmlformats.org/officeDocument/2006/relationships/header" Target="header77.xml" /><Relationship Id="rId678" Type="http://schemas.openxmlformats.org/officeDocument/2006/relationships/footer" Target="footer76.xml" /><Relationship Id="rId679" Type="http://schemas.openxmlformats.org/officeDocument/2006/relationships/footer" Target="footer77.xml" /><Relationship Id="rId68" Type="http://schemas.openxmlformats.org/officeDocument/2006/relationships/hyperlink" Target="https://advance.lexis.com/api/document?collection=cases-ca&amp;id=urn:contentItem:5NFC-YTC1-JPP5-207B-00000-00&amp;context=" TargetMode="External" /><Relationship Id="rId680" Type="http://schemas.openxmlformats.org/officeDocument/2006/relationships/header" Target="header78.xml" /><Relationship Id="rId681" Type="http://schemas.openxmlformats.org/officeDocument/2006/relationships/footer" Target="footer78.xml" /><Relationship Id="rId682" Type="http://schemas.openxmlformats.org/officeDocument/2006/relationships/hyperlink" Target="https://advance.lexis.com/api/document?collection=cases-ca&amp;id=urn:contentItem:5F7T-S781-F900-G0T0-00000-00&amp;context=" TargetMode="External" /><Relationship Id="rId683" Type="http://schemas.openxmlformats.org/officeDocument/2006/relationships/hyperlink" Target="https://advance.lexis.com/api/document?collection=cases-ca&amp;id=urn:contentItem:5F7T-S751-JNS1-M1PC-00000-00&amp;context=" TargetMode="External" /><Relationship Id="rId684" Type="http://schemas.openxmlformats.org/officeDocument/2006/relationships/hyperlink" Target="https://advance.lexis.com/api/document?collection=cases-ca&amp;id=urn:contentItem:5F7T-S6Y1-DY33-B09H-00000-00&amp;context=" TargetMode="External" /><Relationship Id="rId685" Type="http://schemas.openxmlformats.org/officeDocument/2006/relationships/hyperlink" Target="https://advance.lexis.com/api/document?collection=cases-ca&amp;id=urn:contentItem:5F7T-S7H1-JG02-S3N8-00000-00&amp;context=" TargetMode="External" /><Relationship Id="rId686" Type="http://schemas.openxmlformats.org/officeDocument/2006/relationships/hyperlink" Target="https://advance.lexis.com/api/document?collection=cases-ca&amp;id=urn:contentItem:5F81-VJV1-JK4W-M4YV-00000-00&amp;context=" TargetMode="External" /><Relationship Id="rId687" Type="http://schemas.openxmlformats.org/officeDocument/2006/relationships/hyperlink" Target="https://advance.lexis.com/api/document?collection=cases-ca&amp;id=urn:contentItem:5F7T-S7H1-JG02-S39S-00000-00&amp;context=" TargetMode="External" /><Relationship Id="rId688" Type="http://schemas.openxmlformats.org/officeDocument/2006/relationships/hyperlink" Target="https://advance.lexis.com/api/document?collection=cases-ca&amp;id=urn:contentItem:5F7T-S6S1-JX8W-M2DS-00000-00&amp;context=" TargetMode="External" /><Relationship Id="rId689" Type="http://schemas.openxmlformats.org/officeDocument/2006/relationships/hyperlink" Target="https://advance.lexis.com/api/document?collection=cases-ca&amp;id=urn:contentItem:5F8T-N3T1-JGHR-M28V-00000-00&amp;context=" TargetMode="External" /><Relationship Id="rId69" Type="http://schemas.openxmlformats.org/officeDocument/2006/relationships/hyperlink" Target="https://advance.lexis.com/api/document?collection=cases-ca&amp;id=urn:contentItem:5G67-5T41-JNS1-M2DY-00000-00&amp;context=" TargetMode="External" /><Relationship Id="rId690" Type="http://schemas.openxmlformats.org/officeDocument/2006/relationships/hyperlink" Target="https://advance.lexis.com/api/document?collection=cases-ca&amp;id=urn:contentItem:5F8P-T8S1-FGCG-S40J-00000-00&amp;context=" TargetMode="External" /><Relationship Id="rId691" Type="http://schemas.openxmlformats.org/officeDocument/2006/relationships/hyperlink" Target="https://advance.lexis.com/api/document?collection=cases-ca&amp;id=urn:contentItem:5F7T-S711-FJDY-X31X-00000-00&amp;context=" TargetMode="External" /><Relationship Id="rId692" Type="http://schemas.openxmlformats.org/officeDocument/2006/relationships/hyperlink" Target="https://advance.lexis.com/api/document?collection=cases-ca&amp;id=urn:contentItem:5F7T-S751-F361-M12P-00000-00&amp;context=" TargetMode="External" /><Relationship Id="rId693" Type="http://schemas.openxmlformats.org/officeDocument/2006/relationships/hyperlink" Target="https://advance.lexis.com/api/document?collection=cases-ca&amp;id=urn:contentItem:5F8T-N3V1-JF75-M3CD-00000-00&amp;context=" TargetMode="External" /><Relationship Id="rId694" Type="http://schemas.openxmlformats.org/officeDocument/2006/relationships/hyperlink" Target="https://advance.lexis.com/api/document?collection=cases-ca&amp;id=urn:contentItem:5F8T-N3S1-JBDT-B04B-00000-00&amp;context=" TargetMode="External" /><Relationship Id="rId695" Type="http://schemas.openxmlformats.org/officeDocument/2006/relationships/hyperlink" Target="https://advance.lexis.com/api/document?collection=cases-ca&amp;id=urn:contentItem:5F7T-S711-JNS1-M0SC-00000-00&amp;context=" TargetMode="External" /><Relationship Id="rId696" Type="http://schemas.openxmlformats.org/officeDocument/2006/relationships/hyperlink" Target="https://advance.lexis.com/api/document?collection=cases-ca&amp;id=urn:contentItem:5F7T-S711-JB2B-S0SN-00000-00&amp;context=" TargetMode="External" /><Relationship Id="rId697" Type="http://schemas.openxmlformats.org/officeDocument/2006/relationships/hyperlink" Target="https://advance.lexis.com/api/document?collection=cases-ca&amp;id=urn:contentItem:5F7T-S751-JP4G-61GG-00000-00&amp;context=" TargetMode="External" /><Relationship Id="rId698" Type="http://schemas.openxmlformats.org/officeDocument/2006/relationships/hyperlink" Target="https://advance.lexis.com/api/document?collection=cases-ca&amp;id=urn:contentItem:5F7T-S771-JW5H-X1Y8-00000-00&amp;context=" TargetMode="External" /><Relationship Id="rId699" Type="http://schemas.openxmlformats.org/officeDocument/2006/relationships/hyperlink" Target="https://advance.lexis.com/api/document?collection=cases-ca&amp;id=urn:contentItem:5F7H-SCN1-DY89-M2C7-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N23-P731-FC6N-X566-00000-00&amp;context=" TargetMode="External" /><Relationship Id="rId700" Type="http://schemas.openxmlformats.org/officeDocument/2006/relationships/hyperlink" Target="https://advance.lexis.com/api/document?collection=legislation-ca&amp;id=urn:contentItem:5VYK-WB31-F4NT-X50F-00000-00&amp;context=" TargetMode="External" /><Relationship Id="rId701" Type="http://schemas.openxmlformats.org/officeDocument/2006/relationships/hyperlink" Target="https://advance.lexis.com/api/document?collection=cases-ca&amp;id=urn:contentItem:5F7T-S751-JBM1-M2MF-00000-00&amp;context=" TargetMode="External" /><Relationship Id="rId702" Type="http://schemas.openxmlformats.org/officeDocument/2006/relationships/header" Target="header79.xml" /><Relationship Id="rId703" Type="http://schemas.openxmlformats.org/officeDocument/2006/relationships/header" Target="header80.xml" /><Relationship Id="rId704" Type="http://schemas.openxmlformats.org/officeDocument/2006/relationships/footer" Target="footer79.xml" /><Relationship Id="rId705" Type="http://schemas.openxmlformats.org/officeDocument/2006/relationships/footer" Target="footer80.xml" /><Relationship Id="rId706" Type="http://schemas.openxmlformats.org/officeDocument/2006/relationships/header" Target="header81.xml" /><Relationship Id="rId707" Type="http://schemas.openxmlformats.org/officeDocument/2006/relationships/footer" Target="footer81.xml" /><Relationship Id="rId708" Type="http://schemas.openxmlformats.org/officeDocument/2006/relationships/hyperlink" Target="https://advance.lexis.com/api/document?collection=cases-ca&amp;id=urn:contentItem:5RRK-9081-JCBX-S0GH-00000-00&amp;context=" TargetMode="External" /><Relationship Id="rId709" Type="http://schemas.openxmlformats.org/officeDocument/2006/relationships/hyperlink" Target="https://advance.lexis.com/api/document?collection=cases-ca&amp;id=urn:contentItem:5GRD-0501-JSRM-61CR-00000-00&amp;context=" TargetMode="External" /><Relationship Id="rId71" Type="http://schemas.openxmlformats.org/officeDocument/2006/relationships/hyperlink" Target="https://advance.lexis.com/api/document?collection=cases-ca&amp;id=urn:contentItem:5MN7-3Y71-FK0M-S38Y-00000-00&amp;context=" TargetMode="External" /><Relationship Id="rId710" Type="http://schemas.openxmlformats.org/officeDocument/2006/relationships/hyperlink" Target="https://advance.lexis.com/api/document?collection=cases-ca&amp;id=urn:contentItem:5F8T-N3V1-FH4C-X1Y3-00000-00&amp;context=" TargetMode="External" /><Relationship Id="rId711" Type="http://schemas.openxmlformats.org/officeDocument/2006/relationships/hyperlink" Target="https://advance.lexis.com/api/document?collection=cases-ca&amp;id=urn:contentItem:5F7T-S7M1-JNCK-22PB-00000-00&amp;context=" TargetMode="External" /><Relationship Id="rId712" Type="http://schemas.openxmlformats.org/officeDocument/2006/relationships/hyperlink" Target="https://advance.lexis.com/api/document?collection=cases-ca&amp;id=urn:contentItem:5F7T-S7K1-JNY7-X4G0-00000-00&amp;context=" TargetMode="External" /><Relationship Id="rId713" Type="http://schemas.openxmlformats.org/officeDocument/2006/relationships/hyperlink" Target="https://advance.lexis.com/api/document?collection=cases-ca&amp;id=urn:contentItem:5F7T-S721-F956-S1X3-00000-00&amp;context=" TargetMode="External" /><Relationship Id="rId714" Type="http://schemas.openxmlformats.org/officeDocument/2006/relationships/hyperlink" Target="https://advance.lexis.com/api/document?collection=cases-ca&amp;id=urn:contentItem:5F7T-S7P1-JSJC-X18P-00000-00&amp;context=" TargetMode="External" /><Relationship Id="rId715" Type="http://schemas.openxmlformats.org/officeDocument/2006/relationships/hyperlink" Target="https://advance.lexis.com/api/document?collection=cases-ca&amp;id=urn:contentItem:5F7T-S7C1-FGRY-B057-00000-00&amp;context=" TargetMode="External" /><Relationship Id="rId716" Type="http://schemas.openxmlformats.org/officeDocument/2006/relationships/hyperlink" Target="https://advance.lexis.com/api/document?collection=cases-ca&amp;id=urn:contentItem:5F7T-S731-FFFC-B0DB-00000-00&amp;context=" TargetMode="External" /><Relationship Id="rId717" Type="http://schemas.openxmlformats.org/officeDocument/2006/relationships/hyperlink" Target="https://advance.lexis.com/api/document?collection=cases-ca&amp;id=urn:contentItem:5F7T-S731-F016-S331-00000-00&amp;context=" TargetMode="External" /><Relationship Id="rId718" Type="http://schemas.openxmlformats.org/officeDocument/2006/relationships/hyperlink" Target="https://advance.lexis.com/api/document?collection=cases-ca&amp;id=urn:contentItem:5M4Y-47R1-JC5P-G43Y-00000-00&amp;context=" TargetMode="External" /><Relationship Id="rId719" Type="http://schemas.openxmlformats.org/officeDocument/2006/relationships/hyperlink" Target="https://advance.lexis.com/api/document?collection=cases-ca&amp;id=urn:contentItem:5M4Y-47R1-JC5P-G440-00000-00&amp;context=" TargetMode="External" /><Relationship Id="rId72" Type="http://schemas.openxmlformats.org/officeDocument/2006/relationships/hyperlink" Target="https://advance.lexis.com/api/document?collection=cases-ca&amp;id=urn:contentItem:5F7T-S771-JW5H-X243-00000-00&amp;context=" TargetMode="External" /><Relationship Id="rId720" Type="http://schemas.openxmlformats.org/officeDocument/2006/relationships/hyperlink" Target="https://advance.lexis.com/api/document?collection=cases-ca&amp;id=urn:contentItem:5F8T-N3V1-JF75-M3VR-00000-00&amp;context=" TargetMode="External" /><Relationship Id="rId721" Type="http://schemas.openxmlformats.org/officeDocument/2006/relationships/header" Target="header82.xml" /><Relationship Id="rId722" Type="http://schemas.openxmlformats.org/officeDocument/2006/relationships/header" Target="header83.xml" /><Relationship Id="rId723" Type="http://schemas.openxmlformats.org/officeDocument/2006/relationships/footer" Target="footer82.xml" /><Relationship Id="rId724" Type="http://schemas.openxmlformats.org/officeDocument/2006/relationships/footer" Target="footer83.xml" /><Relationship Id="rId725" Type="http://schemas.openxmlformats.org/officeDocument/2006/relationships/header" Target="header84.xml" /><Relationship Id="rId726" Type="http://schemas.openxmlformats.org/officeDocument/2006/relationships/footer" Target="footer84.xml" /><Relationship Id="rId727" Type="http://schemas.openxmlformats.org/officeDocument/2006/relationships/hyperlink" Target="https://advance.lexis.com/api/document?collection=cases-ca&amp;id=urn:contentItem:5PHP-1331-F956-S2BR-00000-00&amp;context=" TargetMode="External" /><Relationship Id="rId728" Type="http://schemas.openxmlformats.org/officeDocument/2006/relationships/hyperlink" Target="https://advance.lexis.com/api/document?collection=legislation-ca&amp;id=urn:contentItem:5F41-1FG1-FBN1-20W5-00000-00&amp;context=" TargetMode="External" /><Relationship Id="rId729" Type="http://schemas.openxmlformats.org/officeDocument/2006/relationships/hyperlink" Target="https://advance.lexis.com/api/document?collection=cases-ca&amp;id=urn:contentItem:5GB3-MY31-JX3N-B2D2-00000-00&amp;context=" TargetMode="External" /><Relationship Id="rId73" Type="http://schemas.openxmlformats.org/officeDocument/2006/relationships/hyperlink" Target="https://advance.lexis.com/api/document?collection=cases-ca&amp;id=urn:contentItem:5F7T-S7N1-JGHR-M3D9-00000-00&amp;context=" TargetMode="External" /><Relationship Id="rId730" Type="http://schemas.openxmlformats.org/officeDocument/2006/relationships/hyperlink" Target="https://advance.lexis.com/api/document?collection=cases-ca&amp;id=urn:contentItem:5F7T-S7G1-JBT7-X40C-00000-00&amp;context=" TargetMode="External" /><Relationship Id="rId731" Type="http://schemas.openxmlformats.org/officeDocument/2006/relationships/hyperlink" Target="https://advance.lexis.com/api/document?collection=cases-ca&amp;id=urn:contentItem:5F81-VJX1-F22N-X1WV-00000-00&amp;context=" TargetMode="External" /><Relationship Id="rId732" Type="http://schemas.openxmlformats.org/officeDocument/2006/relationships/hyperlink" Target="https://advance.lexis.com/api/document?collection=cases-ca&amp;id=urn:contentItem:5F81-VJX1-F22N-X246-00000-00&amp;context=" TargetMode="External" /><Relationship Id="rId733" Type="http://schemas.openxmlformats.org/officeDocument/2006/relationships/hyperlink" Target="https://advance.lexis.com/api/document?collection=cases-ca&amp;id=urn:contentItem:5F7H-SCN1-DY89-M2FB-00000-00&amp;context=" TargetMode="External" /><Relationship Id="rId734" Type="http://schemas.openxmlformats.org/officeDocument/2006/relationships/hyperlink" Target="https://advance.lexis.com/api/document?collection=cases-ca&amp;id=urn:contentItem:5F7T-S7K1-JX3N-B2V4-00000-00&amp;context=" TargetMode="External" /><Relationship Id="rId735" Type="http://schemas.openxmlformats.org/officeDocument/2006/relationships/hyperlink" Target="https://advance.lexis.com/api/document?collection=cases-ca&amp;id=urn:contentItem:5F7T-S7N1-F06F-24KX-00000-00&amp;context=" TargetMode="External" /><Relationship Id="rId736" Type="http://schemas.openxmlformats.org/officeDocument/2006/relationships/hyperlink" Target="https://advance.lexis.com/api/document?collection=cases-ca&amp;id=urn:contentItem:5F82-1SJ1-FGY5-M50Y-00000-00&amp;context=" TargetMode="External" /><Relationship Id="rId737" Type="http://schemas.openxmlformats.org/officeDocument/2006/relationships/hyperlink" Target="https://advance.lexis.com/api/document?collection=cases-ca&amp;id=urn:contentItem:5F16-9321-FC1F-M53V-00000-00&amp;context=" TargetMode="External" /><Relationship Id="rId738" Type="http://schemas.openxmlformats.org/officeDocument/2006/relationships/hyperlink" Target="https://advance.lexis.com/api/document?collection=cases-ca&amp;id=urn:contentItem:5F8T-N3V1-JF75-M3MT-00000-00&amp;context=" TargetMode="External" /><Relationship Id="rId739" Type="http://schemas.openxmlformats.org/officeDocument/2006/relationships/hyperlink" Target="https://advance.lexis.com/api/document?collection=cases-ca&amp;id=urn:contentItem:5GJG-DJW1-JP4G-62HR-00000-00&amp;context=" TargetMode="External" /><Relationship Id="rId74" Type="http://schemas.openxmlformats.org/officeDocument/2006/relationships/hyperlink" Target="https://advance.lexis.com/api/document?collection=cases-ca&amp;id=urn:contentItem:5F8T-N3V1-FC1F-M48G-00000-00&amp;context=" TargetMode="External" /><Relationship Id="rId740" Type="http://schemas.openxmlformats.org/officeDocument/2006/relationships/hyperlink" Target="https://advance.lexis.com/api/document?collection=cases-ca&amp;id=urn:contentItem:5F7T-S771-F361-M1H3-00000-00&amp;context=" TargetMode="External" /><Relationship Id="rId741" Type="http://schemas.openxmlformats.org/officeDocument/2006/relationships/hyperlink" Target="https://advance.lexis.com/api/document?collection=cases-ca&amp;id=urn:contentItem:5F8T-N3T1-JJSF-23BN-00000-00&amp;context=" TargetMode="External" /><Relationship Id="rId742" Type="http://schemas.openxmlformats.org/officeDocument/2006/relationships/hyperlink" Target="https://advance.lexis.com/api/document?collection=cases-ca&amp;id=urn:contentItem:5F7T-S7F1-DXWW-2475-00000-00&amp;context=" TargetMode="External" /><Relationship Id="rId743" Type="http://schemas.openxmlformats.org/officeDocument/2006/relationships/hyperlink" Target="https://advance.lexis.com/api/document?collection=cases-ca&amp;id=urn:contentItem:5F8P-SDV1-FC6N-X020-00000-00&amp;context=" TargetMode="External" /><Relationship Id="rId744" Type="http://schemas.openxmlformats.org/officeDocument/2006/relationships/hyperlink" Target="https://advance.lexis.com/api/document?collection=cases-ca&amp;id=urn:contentItem:5JDH-TJC1-F30T-B0DV-00000-00&amp;context=" TargetMode="External" /><Relationship Id="rId745" Type="http://schemas.openxmlformats.org/officeDocument/2006/relationships/header" Target="header85.xml" /><Relationship Id="rId746" Type="http://schemas.openxmlformats.org/officeDocument/2006/relationships/header" Target="header86.xml" /><Relationship Id="rId747" Type="http://schemas.openxmlformats.org/officeDocument/2006/relationships/footer" Target="footer85.xml" /><Relationship Id="rId748" Type="http://schemas.openxmlformats.org/officeDocument/2006/relationships/footer" Target="footer86.xml" /><Relationship Id="rId749" Type="http://schemas.openxmlformats.org/officeDocument/2006/relationships/header" Target="header87.xml" /><Relationship Id="rId75" Type="http://schemas.openxmlformats.org/officeDocument/2006/relationships/hyperlink" Target="https://advance.lexis.com/api/document?collection=cases-ca&amp;id=urn:contentItem:5F7T-S751-FJDY-X43D-00000-00&amp;context=" TargetMode="External" /><Relationship Id="rId750" Type="http://schemas.openxmlformats.org/officeDocument/2006/relationships/footer" Target="footer87.xml" /><Relationship Id="rId751" Type="http://schemas.openxmlformats.org/officeDocument/2006/relationships/hyperlink" Target="https://advance.lexis.com/api/document?collection=cases-ca&amp;id=urn:contentItem:5F7T-S7P1-JNJT-B2CP-00000-00&amp;context=" TargetMode="External" /><Relationship Id="rId752" Type="http://schemas.openxmlformats.org/officeDocument/2006/relationships/hyperlink" Target="https://advance.lexis.com/api/document?collection=legislation-ca&amp;id=urn:contentItem:5F41-1FJ1-JG59-214K-00000-00&amp;context=" TargetMode="External" /><Relationship Id="rId753" Type="http://schemas.openxmlformats.org/officeDocument/2006/relationships/hyperlink" Target="https://advance.lexis.com/api/document?collection=legislation-ca&amp;id=urn:contentItem:5F41-1FJ1-JG59-218W-00000-00&amp;context=" TargetMode="External" /><Relationship Id="rId754" Type="http://schemas.openxmlformats.org/officeDocument/2006/relationships/hyperlink" Target="https://advance.lexis.com/api/document?collection=cases-ca&amp;id=urn:contentItem:5F7T-S7M1-JNCK-22SC-00000-00&amp;context=" TargetMode="External" /><Relationship Id="rId755" Type="http://schemas.openxmlformats.org/officeDocument/2006/relationships/hyperlink" Target="https://advance.lexis.com/api/document?collection=cases-ca&amp;id=urn:contentItem:5F7T-S7M1-DYMS-628Y-00000-00&amp;context=" TargetMode="External" /><Relationship Id="rId756" Type="http://schemas.openxmlformats.org/officeDocument/2006/relationships/hyperlink" Target="https://advance.lexis.com/api/document?collection=cases-ca&amp;id=urn:contentItem:5F8T-N3V1-JF75-M3KJ-00000-00&amp;context=" TargetMode="External" /><Relationship Id="rId757" Type="http://schemas.openxmlformats.org/officeDocument/2006/relationships/hyperlink" Target="https://advance.lexis.com/api/document?collection=cases-ca&amp;id=urn:contentItem:5F7T-S6X1-FBN1-20XN-00000-00&amp;context=" TargetMode="External" /><Relationship Id="rId758" Type="http://schemas.openxmlformats.org/officeDocument/2006/relationships/hyperlink" Target="https://advance.lexis.com/api/document?collection=cases-ca&amp;id=urn:contentItem:5F7V-3DF1-JWR6-S3B2-00000-00&amp;context=" TargetMode="External" /><Relationship Id="rId759" Type="http://schemas.openxmlformats.org/officeDocument/2006/relationships/hyperlink" Target="https://advance.lexis.com/api/document?collection=cases-ca&amp;id=urn:contentItem:5F7T-S7J1-FGCG-S094-00000-00&amp;context=" TargetMode="External" /><Relationship Id="rId76" Type="http://schemas.openxmlformats.org/officeDocument/2006/relationships/hyperlink" Target="https://advance.lexis.com/api/document?collection=cases-ca&amp;id=urn:contentItem:5F7T-S7M1-F4W2-628B-00000-00&amp;context=" TargetMode="External" /><Relationship Id="rId760" Type="http://schemas.openxmlformats.org/officeDocument/2006/relationships/hyperlink" Target="https://advance.lexis.com/api/document?collection=cases-ca&amp;id=urn:contentItem:5F7H-KW51-JP4G-60CF-00000-00&amp;context=" TargetMode="External" /><Relationship Id="rId761" Type="http://schemas.openxmlformats.org/officeDocument/2006/relationships/hyperlink" Target="https://advance.lexis.com/api/document?collection=cases-ca&amp;id=urn:contentItem:5F7T-S6V1-JWR6-S12P-00000-00&amp;context=" TargetMode="External" /><Relationship Id="rId762" Type="http://schemas.openxmlformats.org/officeDocument/2006/relationships/hyperlink" Target="https://advance.lexis.com/api/document?collection=cases-ca&amp;id=urn:contentItem:5F8T-N3S1-JBDT-B08G-00000-00&amp;context=" TargetMode="External" /><Relationship Id="rId763" Type="http://schemas.openxmlformats.org/officeDocument/2006/relationships/hyperlink" Target="https://advance.lexis.com/api/document?collection=cases-ca&amp;id=urn:contentItem:5F81-VJX1-FGY5-M3H4-00000-00&amp;context=" TargetMode="External" /><Relationship Id="rId764" Type="http://schemas.openxmlformats.org/officeDocument/2006/relationships/hyperlink" Target="https://advance.lexis.com/api/document?collection=cases-ca&amp;id=urn:contentItem:5F81-VJV1-JK4W-M4VT-00000-00&amp;context=" TargetMode="External" /><Relationship Id="rId765" Type="http://schemas.openxmlformats.org/officeDocument/2006/relationships/hyperlink" Target="https://advance.lexis.com/api/document?collection=cases-ca&amp;id=urn:contentItem:5F82-1SF1-F361-M47K-00000-00&amp;context=" TargetMode="External" /><Relationship Id="rId766" Type="http://schemas.openxmlformats.org/officeDocument/2006/relationships/hyperlink" Target="https://advance.lexis.com/api/document?collection=cases-ca&amp;id=urn:contentItem:5F8T-N3V1-JF75-M3FN-00000-00&amp;context=" TargetMode="External" /><Relationship Id="rId767" Type="http://schemas.openxmlformats.org/officeDocument/2006/relationships/hyperlink" Target="https://advance.lexis.com/api/document?collection=cases-ca&amp;id=urn:contentItem:5F8T-N3R1-JNS1-M173-00000-00&amp;context=" TargetMode="External" /><Relationship Id="rId768" Type="http://schemas.openxmlformats.org/officeDocument/2006/relationships/hyperlink" Target="https://advance.lexis.com/api/document?collection=cases-ca&amp;id=urn:contentItem:5F8P-SDG1-JGPY-X234-00000-00&amp;context=" TargetMode="External" /><Relationship Id="rId769" Type="http://schemas.openxmlformats.org/officeDocument/2006/relationships/hyperlink" Target="https://advance.lexis.com/api/document?collection=cases-ca&amp;id=urn:contentItem:5F7V-3DK1-FG68-G2XP-00000-00&amp;context=" TargetMode="External" /><Relationship Id="rId77" Type="http://schemas.openxmlformats.org/officeDocument/2006/relationships/hyperlink" Target="https://advance.lexis.com/api/document?collection=cases-ca&amp;id=urn:contentItem:5F7T-S7P1-JSJC-X1J8-00000-00&amp;context=" TargetMode="External" /><Relationship Id="rId770" Type="http://schemas.openxmlformats.org/officeDocument/2006/relationships/hyperlink" Target="https://advance.lexis.com/api/document?collection=cases-ca&amp;id=urn:contentItem:5F7T-XPW1-JG59-225C-00000-00&amp;context=" TargetMode="External" /><Relationship Id="rId771" Type="http://schemas.openxmlformats.org/officeDocument/2006/relationships/hyperlink" Target="https://advance.lexis.com/api/document?collection=cases-ca&amp;id=urn:contentItem:5F8T-N3P1-F956-S12B-00000-00&amp;context=" TargetMode="External" /><Relationship Id="rId772" Type="http://schemas.openxmlformats.org/officeDocument/2006/relationships/hyperlink" Target="https://advance.lexis.com/api/document?collection=cases-ca&amp;id=urn:contentItem:5F81-VJT1-JF75-M0XK-00000-00&amp;context=" TargetMode="External" /><Relationship Id="rId773" Type="http://schemas.openxmlformats.org/officeDocument/2006/relationships/hyperlink" Target="https://advance.lexis.com/api/document?collection=cases-ca&amp;id=urn:contentItem:5F8T-N3R1-JBDT-B54K-00000-00&amp;context=" TargetMode="External" /><Relationship Id="rId774" Type="http://schemas.openxmlformats.org/officeDocument/2006/relationships/hyperlink" Target="https://advance.lexis.com/api/document?collection=cases-ca&amp;id=urn:contentItem:5F7T-S6T1-JJ1H-X22K-00000-00&amp;context=" TargetMode="External" /><Relationship Id="rId775" Type="http://schemas.openxmlformats.org/officeDocument/2006/relationships/hyperlink" Target="https://advance.lexis.com/api/document?collection=cases-ca&amp;id=urn:contentItem:5F8P-SDY1-JKHB-62PB-00000-00&amp;context=" TargetMode="External" /><Relationship Id="rId776" Type="http://schemas.openxmlformats.org/officeDocument/2006/relationships/hyperlink" Target="https://advance.lexis.com/api/document?collection=cases-ca&amp;id=urn:contentItem:5F8P-SDS1-JKB3-X0XG-00000-00&amp;context=" TargetMode="External" /><Relationship Id="rId777" Type="http://schemas.openxmlformats.org/officeDocument/2006/relationships/hyperlink" Target="https://advance.lexis.com/api/document?collection=cases-ca&amp;id=urn:contentItem:5F16-9341-JJD0-G118-00000-00&amp;context=" TargetMode="External" /><Relationship Id="rId778" Type="http://schemas.openxmlformats.org/officeDocument/2006/relationships/hyperlink" Target="https://advance.lexis.com/api/document?collection=cases-ca&amp;id=urn:contentItem:5F7T-S7C1-F30T-B28B-00000-00&amp;context=" TargetMode="External" /><Relationship Id="rId779" Type="http://schemas.openxmlformats.org/officeDocument/2006/relationships/hyperlink" Target="https://advance.lexis.com/api/document?collection=cases-ca&amp;id=urn:contentItem:5F7T-S7C1-JS0R-22C6-00000-00&amp;context=" TargetMode="External" /><Relationship Id="rId78" Type="http://schemas.openxmlformats.org/officeDocument/2006/relationships/hyperlink" Target="https://advance.lexis.com/api/document?collection=cases-ca&amp;id=urn:contentItem:5F8T-N3S1-JBDT-B0CD-00000-00&amp;context=" TargetMode="External" /><Relationship Id="rId780" Type="http://schemas.openxmlformats.org/officeDocument/2006/relationships/hyperlink" Target="https://advance.lexis.com/api/document?collection=cases-ca&amp;id=urn:contentItem:5F7T-S7D1-FCSB-S2RB-00000-00&amp;context=" TargetMode="External" /><Relationship Id="rId781" Type="http://schemas.openxmlformats.org/officeDocument/2006/relationships/hyperlink" Target="https://advance.lexis.com/api/document?collection=cases-ca&amp;id=urn:contentItem:5F7T-S7C1-JCJ5-20JW-00000-00&amp;context=" TargetMode="External" /><Relationship Id="rId782" Type="http://schemas.openxmlformats.org/officeDocument/2006/relationships/hyperlink" Target="https://advance.lexis.com/api/document?collection=cases-ca&amp;id=urn:contentItem:5F7T-S7B1-FH4C-X3TF-00000-00&amp;context=" TargetMode="External" /><Relationship Id="rId783" Type="http://schemas.openxmlformats.org/officeDocument/2006/relationships/hyperlink" Target="https://advance.lexis.com/api/document?collection=cases-ca&amp;id=urn:contentItem:5F81-VJX1-JJYN-B4N5-00000-00&amp;context=" TargetMode="External" /><Relationship Id="rId784" Type="http://schemas.openxmlformats.org/officeDocument/2006/relationships/header" Target="header88.xml" /><Relationship Id="rId785" Type="http://schemas.openxmlformats.org/officeDocument/2006/relationships/header" Target="header89.xml" /><Relationship Id="rId786" Type="http://schemas.openxmlformats.org/officeDocument/2006/relationships/footer" Target="footer88.xml" /><Relationship Id="rId787" Type="http://schemas.openxmlformats.org/officeDocument/2006/relationships/footer" Target="footer89.xml" /><Relationship Id="rId788" Type="http://schemas.openxmlformats.org/officeDocument/2006/relationships/header" Target="header90.xml" /><Relationship Id="rId789" Type="http://schemas.openxmlformats.org/officeDocument/2006/relationships/footer" Target="footer90.xml" /><Relationship Id="rId79" Type="http://schemas.openxmlformats.org/officeDocument/2006/relationships/hyperlink" Target="https://advance.lexis.com/api/document?collection=cases-ca&amp;id=urn:contentItem:5F8T-N3N1-JWXF-24SS-00000-00&amp;context=" TargetMode="External" /><Relationship Id="rId790" Type="http://schemas.openxmlformats.org/officeDocument/2006/relationships/hyperlink" Target="https://advance.lexis.com/api/document?collection=cases-ca&amp;id=urn:contentItem:5F7T-S7M1-JJK6-S1XN-00000-00&amp;context=" TargetMode="External" /><Relationship Id="rId791" Type="http://schemas.openxmlformats.org/officeDocument/2006/relationships/hyperlink" Target="https://advance.lexis.com/api/document?collection=cases-ca&amp;id=urn:contentItem:5F7T-S761-F81W-21VY-00000-00&amp;context=" TargetMode="External" /><Relationship Id="rId792" Type="http://schemas.openxmlformats.org/officeDocument/2006/relationships/header" Target="header91.xml" /><Relationship Id="rId793" Type="http://schemas.openxmlformats.org/officeDocument/2006/relationships/header" Target="header92.xml" /><Relationship Id="rId794" Type="http://schemas.openxmlformats.org/officeDocument/2006/relationships/footer" Target="footer91.xml" /><Relationship Id="rId795" Type="http://schemas.openxmlformats.org/officeDocument/2006/relationships/footer" Target="footer92.xml" /><Relationship Id="rId796" Type="http://schemas.openxmlformats.org/officeDocument/2006/relationships/header" Target="header93.xml" /><Relationship Id="rId797" Type="http://schemas.openxmlformats.org/officeDocument/2006/relationships/footer" Target="footer93.xml" /><Relationship Id="rId798" Type="http://schemas.openxmlformats.org/officeDocument/2006/relationships/hyperlink" Target="https://advance.lexis.com/api/document?collection=cases-ca&amp;id=urn:contentItem:5F7T-S7K1-JX3N-B2MM-00000-00&amp;context=" TargetMode="External" /><Relationship Id="rId799" Type="http://schemas.openxmlformats.org/officeDocument/2006/relationships/hyperlink" Target="https://advance.lexis.com/api/document?collection=legislation-ca&amp;id=urn:contentItem:5F41-1FK1-JGBH-B10R-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V1-JTGH-B0YP-00000-00&amp;context=" TargetMode="External" /><Relationship Id="rId800" Type="http://schemas.openxmlformats.org/officeDocument/2006/relationships/hyperlink" Target="https://advance.lexis.com/api/document?collection=cases-ca&amp;id=urn:contentItem:5F7T-S7J1-JYYX-62CK-00000-00&amp;context=" TargetMode="External" /><Relationship Id="rId801" Type="http://schemas.openxmlformats.org/officeDocument/2006/relationships/hyperlink" Target="https://advance.lexis.com/api/document?collection=cases-ca&amp;id=urn:contentItem:5F7T-S7K1-JX3N-B2MS-00000-00&amp;context=" TargetMode="External" /><Relationship Id="rId802" Type="http://schemas.openxmlformats.org/officeDocument/2006/relationships/hyperlink" Target="https://advance.lexis.com/api/document?collection=cases-ca&amp;id=urn:contentItem:5F7T-S7J1-DXWW-250F-00000-00&amp;context=" TargetMode="External" /><Relationship Id="rId803" Type="http://schemas.openxmlformats.org/officeDocument/2006/relationships/hyperlink" Target="https://advance.lexis.com/api/document?collection=cases-ca&amp;id=urn:contentItem:5F7T-S7J1-DXWW-24T4-00000-00&amp;context=" TargetMode="External" /><Relationship Id="rId804" Type="http://schemas.openxmlformats.org/officeDocument/2006/relationships/hyperlink" Target="https://advance.lexis.com/api/document?collection=cases-ca&amp;id=urn:contentItem:5F7T-S7J1-JNS1-M2K8-00000-00&amp;context=" TargetMode="External" /><Relationship Id="rId805" Type="http://schemas.openxmlformats.org/officeDocument/2006/relationships/hyperlink" Target="https://advance.lexis.com/api/document?collection=cases-ca&amp;id=urn:contentItem:5F7T-S761-JCBX-S0HJ-00000-00&amp;context=" TargetMode="External" /><Relationship Id="rId806" Type="http://schemas.openxmlformats.org/officeDocument/2006/relationships/hyperlink" Target="https://advance.lexis.com/api/document?collection=cases-ca&amp;id=urn:contentItem:5F7T-S6T1-F361-M02B-00000-00&amp;context=" TargetMode="External" /><Relationship Id="rId807" Type="http://schemas.openxmlformats.org/officeDocument/2006/relationships/hyperlink" Target="https://advance.lexis.com/api/document?collection=cases-ca&amp;id=urn:contentItem:5F7T-S741-F2F4-G2CF-00000-00&amp;context=" TargetMode="External" /><Relationship Id="rId808" Type="http://schemas.openxmlformats.org/officeDocument/2006/relationships/hyperlink" Target="https://advance.lexis.com/api/document?collection=cases-ca&amp;id=urn:contentItem:5F7T-S721-F4NT-X2T6-00000-00&amp;context=" TargetMode="External" /><Relationship Id="rId809" Type="http://schemas.openxmlformats.org/officeDocument/2006/relationships/hyperlink" Target="https://advance.lexis.com/api/document?collection=cases-ca&amp;id=urn:contentItem:5F81-VJW1-JF75-M1FG-00000-00&amp;context=" TargetMode="External" /><Relationship Id="rId81" Type="http://schemas.openxmlformats.org/officeDocument/2006/relationships/hyperlink" Target="https://advance.lexis.com/api/document?collection=cases-ca&amp;id=urn:contentItem:5F8P-SDG1-F06F-226R-00000-00&amp;context=" TargetMode="External" /><Relationship Id="rId810" Type="http://schemas.openxmlformats.org/officeDocument/2006/relationships/header" Target="header94.xml" /><Relationship Id="rId811" Type="http://schemas.openxmlformats.org/officeDocument/2006/relationships/header" Target="header95.xml" /><Relationship Id="rId812" Type="http://schemas.openxmlformats.org/officeDocument/2006/relationships/footer" Target="footer94.xml" /><Relationship Id="rId813" Type="http://schemas.openxmlformats.org/officeDocument/2006/relationships/footer" Target="footer95.xml" /><Relationship Id="rId814" Type="http://schemas.openxmlformats.org/officeDocument/2006/relationships/header" Target="header96.xml" /><Relationship Id="rId815" Type="http://schemas.openxmlformats.org/officeDocument/2006/relationships/footer" Target="footer96.xml" /><Relationship Id="rId816" Type="http://schemas.openxmlformats.org/officeDocument/2006/relationships/image" Target="media/image6.jpeg" /><Relationship Id="rId817" Type="http://schemas.openxmlformats.org/officeDocument/2006/relationships/image" Target="media/image7.jpeg" /><Relationship Id="rId818" Type="http://schemas.openxmlformats.org/officeDocument/2006/relationships/hyperlink" Target="https://advance.lexis.com/api/document?collection=cases-ca&amp;id=urn:contentItem:5F7T-S7K1-JWXF-20RW-00000-00&amp;context=" TargetMode="External" /><Relationship Id="rId819" Type="http://schemas.openxmlformats.org/officeDocument/2006/relationships/hyperlink" Target="https://advance.lexis.com/api/document?collection=cases-ca&amp;id=urn:contentItem:5F7T-S7H1-JS5Y-B37R-00000-00&amp;context=" TargetMode="External" /><Relationship Id="rId82" Type="http://schemas.openxmlformats.org/officeDocument/2006/relationships/hyperlink" Target="https://advance.lexis.com/api/document?collection=cases-ca&amp;id=urn:contentItem:5F8T-N3T1-JFKM-653B-00000-00&amp;context=" TargetMode="External" /><Relationship Id="rId820" Type="http://schemas.openxmlformats.org/officeDocument/2006/relationships/image" Target="media/image8.jpeg" /><Relationship Id="rId821" Type="http://schemas.openxmlformats.org/officeDocument/2006/relationships/hyperlink" Target="https://advance.lexis.com/api/document?collection=cases-ca&amp;id=urn:contentItem:5F7T-S6V1-JFKM-6197-00000-00&amp;context=" TargetMode="External" /><Relationship Id="rId822" Type="http://schemas.openxmlformats.org/officeDocument/2006/relationships/hyperlink" Target="https://advance.lexis.com/api/document?collection=cases-ca&amp;id=urn:contentItem:5F7T-S7D1-JN6B-S10F-00000-00&amp;context=" TargetMode="External" /><Relationship Id="rId823" Type="http://schemas.openxmlformats.org/officeDocument/2006/relationships/image" Target="media/image9.jpeg" /><Relationship Id="rId824" Type="http://schemas.openxmlformats.org/officeDocument/2006/relationships/hyperlink" Target="https://advance.lexis.com/api/document?collection=cases-ca&amp;id=urn:contentItem:5F7T-S7F1-JK4W-M1GJ-00000-00&amp;context=" TargetMode="External" /><Relationship Id="rId825" Type="http://schemas.openxmlformats.org/officeDocument/2006/relationships/hyperlink" Target="https://advance.lexis.com/api/document?collection=cases-ca&amp;id=urn:contentItem:5F7T-S7N1-JW09-M0WC-00000-00&amp;context=" TargetMode="External" /><Relationship Id="rId826" Type="http://schemas.openxmlformats.org/officeDocument/2006/relationships/hyperlink" Target="https://advance.lexis.com/api/document?collection=cases-ca&amp;id=urn:contentItem:5F7T-S7N1-JWR6-S2NC-00000-00&amp;context=" TargetMode="External" /><Relationship Id="rId827" Type="http://schemas.openxmlformats.org/officeDocument/2006/relationships/hyperlink" Target="https://advance.lexis.com/api/document?collection=cases-ca&amp;id=urn:contentItem:5F7T-S7M1-F4W2-627R-00000-00&amp;context=" TargetMode="External" /><Relationship Id="rId828" Type="http://schemas.openxmlformats.org/officeDocument/2006/relationships/hyperlink" Target="https://advance.lexis.com/api/document?collection=cases-ca&amp;id=urn:contentItem:5F7T-S7M1-JFSV-G3RX-00000-00&amp;context=" TargetMode="External" /><Relationship Id="rId829" Type="http://schemas.openxmlformats.org/officeDocument/2006/relationships/hyperlink" Target="https://advance.lexis.com/api/document?collection=cases-ca&amp;id=urn:contentItem:5F7T-S7M1-JJK6-S1TX-00000-00&amp;context=" TargetMode="External" /><Relationship Id="rId83" Type="http://schemas.openxmlformats.org/officeDocument/2006/relationships/hyperlink" Target="https://advance.lexis.com/api/document?collection=cases-ca&amp;id=urn:contentItem:5F8T-N3S1-JT99-24N1-00000-00&amp;context=" TargetMode="External" /><Relationship Id="rId830" Type="http://schemas.openxmlformats.org/officeDocument/2006/relationships/hyperlink" Target="https://advance.lexis.com/api/document?collection=cases-ca&amp;id=urn:contentItem:5F7T-S6X1-K054-G192-00000-00&amp;context=" TargetMode="External" /><Relationship Id="rId831" Type="http://schemas.openxmlformats.org/officeDocument/2006/relationships/hyperlink" Target="https://advance.lexis.com/api/document?collection=cases-ca&amp;id=urn:contentItem:5F7T-S761-JX8W-M36B-00000-00&amp;context=" TargetMode="External" /><Relationship Id="rId832" Type="http://schemas.openxmlformats.org/officeDocument/2006/relationships/hyperlink" Target="https://advance.lexis.com/api/document?collection=cases-ca&amp;id=urn:contentItem:5F7T-S7C1-JS0R-22DN-00000-00&amp;context=" TargetMode="External" /><Relationship Id="rId833" Type="http://schemas.openxmlformats.org/officeDocument/2006/relationships/hyperlink" Target="https://advance.lexis.com/api/document?collection=cases-ca&amp;id=urn:contentItem:5F7T-S7F1-FBN1-21RG-00000-00&amp;context=" TargetMode="External" /><Relationship Id="rId834" Type="http://schemas.openxmlformats.org/officeDocument/2006/relationships/hyperlink" Target="https://advance.lexis.com/api/document?collection=cases-ca&amp;id=urn:contentItem:5F7T-S7G1-JPP5-220D-00000-00&amp;context=" TargetMode="External" /><Relationship Id="rId835" Type="http://schemas.openxmlformats.org/officeDocument/2006/relationships/hyperlink" Target="https://advance.lexis.com/api/document?collection=cases-ca&amp;id=urn:contentItem:5F7H-V021-JJYN-B1MX-00000-00&amp;context=" TargetMode="External" /><Relationship Id="rId836" Type="http://schemas.openxmlformats.org/officeDocument/2006/relationships/hyperlink" Target="https://advance.lexis.com/api/document?collection=cases-ca&amp;id=urn:contentItem:5F7T-S781-JSC5-M4GH-00000-00&amp;context=" TargetMode="External" /><Relationship Id="rId837" Type="http://schemas.openxmlformats.org/officeDocument/2006/relationships/image" Target="media/image10.png" /><Relationship Id="rId838" Type="http://schemas.openxmlformats.org/officeDocument/2006/relationships/hyperlink" Target="https://advance.lexis.com/api/document?collection=cases-ca&amp;id=urn:contentItem:5F7T-S6X1-FBN1-20W2-00000-00&amp;context=" TargetMode="External" /><Relationship Id="rId839" Type="http://schemas.openxmlformats.org/officeDocument/2006/relationships/image" Target="media/image11.jpeg" /><Relationship Id="rId84" Type="http://schemas.openxmlformats.org/officeDocument/2006/relationships/hyperlink" Target="https://advance.lexis.com/api/document?collection=cases-ca&amp;id=urn:contentItem:5F8P-SBV1-DXWW-2288-00000-00&amp;context=" TargetMode="External" /><Relationship Id="rId840" Type="http://schemas.openxmlformats.org/officeDocument/2006/relationships/image" Target="media/image12.jpeg" /><Relationship Id="rId841" Type="http://schemas.openxmlformats.org/officeDocument/2006/relationships/header" Target="header97.xml" /><Relationship Id="rId842" Type="http://schemas.openxmlformats.org/officeDocument/2006/relationships/header" Target="header98.xml" /><Relationship Id="rId843" Type="http://schemas.openxmlformats.org/officeDocument/2006/relationships/footer" Target="footer97.xml" /><Relationship Id="rId844" Type="http://schemas.openxmlformats.org/officeDocument/2006/relationships/footer" Target="footer98.xml" /><Relationship Id="rId845" Type="http://schemas.openxmlformats.org/officeDocument/2006/relationships/header" Target="header99.xml" /><Relationship Id="rId846" Type="http://schemas.openxmlformats.org/officeDocument/2006/relationships/footer" Target="footer99.xml" /><Relationship Id="rId847" Type="http://schemas.openxmlformats.org/officeDocument/2006/relationships/hyperlink" Target="https://advance.lexis.com/api/document?collection=cases-ca&amp;id=urn:contentItem:5F7T-S7M1-JPP5-22SD-00000-00&amp;context=" TargetMode="External" /><Relationship Id="rId848" Type="http://schemas.openxmlformats.org/officeDocument/2006/relationships/hyperlink" Target="https://advance.lexis.com/api/document?collection=cases-ca&amp;id=urn:contentItem:5F7T-S7G1-JN6B-S1GN-00000-00&amp;context=" TargetMode="External" /><Relationship Id="rId849" Type="http://schemas.openxmlformats.org/officeDocument/2006/relationships/hyperlink" Target="https://advance.lexis.com/api/document?collection=cases-ca&amp;id=urn:contentItem:5F7T-S7J1-DXWW-24T5-00000-00&amp;context=" TargetMode="External" /><Relationship Id="rId85" Type="http://schemas.openxmlformats.org/officeDocument/2006/relationships/hyperlink" Target="https://advance.lexis.com/api/document?collection=legislation-ca&amp;id=urn:contentItem:5W00-SYR1-JX8W-M4S2-00000-00&amp;context=" TargetMode="External" /><Relationship Id="rId850" Type="http://schemas.openxmlformats.org/officeDocument/2006/relationships/hyperlink" Target="https://advance.lexis.com/api/document?collection=cases-ca&amp;id=urn:contentItem:5F8T-N3R1-JJSF-230K-00000-00&amp;context=" TargetMode="External" /><Relationship Id="rId851" Type="http://schemas.openxmlformats.org/officeDocument/2006/relationships/hyperlink" Target="https://advance.lexis.com/api/document?collection=cases-ca&amp;id=urn:contentItem:5F7H-KW91-F57G-S0JH-00000-00&amp;context=" TargetMode="External" /><Relationship Id="rId852" Type="http://schemas.openxmlformats.org/officeDocument/2006/relationships/hyperlink" Target="https://advance.lexis.com/api/document?collection=cases-ca&amp;id=urn:contentItem:5F7T-S7F1-FJTD-G3KM-00000-00&amp;context=" TargetMode="External" /><Relationship Id="rId853" Type="http://schemas.openxmlformats.org/officeDocument/2006/relationships/hyperlink" Target="https://advance.lexis.com/api/document?collection=cases-ca&amp;id=urn:contentItem:5F8N-K711-JJ6S-62V6-00000-00&amp;context=" TargetMode="External" /><Relationship Id="rId854" Type="http://schemas.openxmlformats.org/officeDocument/2006/relationships/hyperlink" Target="https://advance.lexis.com/api/document?collection=cases-ca&amp;id=urn:contentItem:5F7T-S751-JP4G-6132-00000-00&amp;context=" TargetMode="External" /><Relationship Id="rId855" Type="http://schemas.openxmlformats.org/officeDocument/2006/relationships/hyperlink" Target="https://advance.lexis.com/api/document?collection=cases-ca&amp;id=urn:contentItem:5F7T-S7M1-DYMS-6287-00000-00&amp;context=" TargetMode="External" /><Relationship Id="rId856" Type="http://schemas.openxmlformats.org/officeDocument/2006/relationships/hyperlink" Target="https://advance.lexis.com/api/document?collection=cases-ca&amp;id=urn:contentItem:5F7T-S7M1-DYMS-6227-00000-00&amp;context=" TargetMode="External" /><Relationship Id="rId857" Type="http://schemas.openxmlformats.org/officeDocument/2006/relationships/hyperlink" Target="https://advance.lexis.com/api/document?collection=cases-ca&amp;id=urn:contentItem:5F8N-K701-JP4G-62W7-00000-00&amp;context=" TargetMode="External" /><Relationship Id="rId858" Type="http://schemas.openxmlformats.org/officeDocument/2006/relationships/hyperlink" Target="https://advance.lexis.com/api/document?collection=cases-ca&amp;id=urn:contentItem:5F8W-M491-JWBS-60MT-00000-00&amp;context=" TargetMode="External" /><Relationship Id="rId859" Type="http://schemas.openxmlformats.org/officeDocument/2006/relationships/hyperlink" Target="https://advance.lexis.com/api/document?collection=cases-ca&amp;id=urn:contentItem:5F7T-XPY1-JBDT-B03T-00000-00&amp;context=" TargetMode="External" /><Relationship Id="rId86" Type="http://schemas.openxmlformats.org/officeDocument/2006/relationships/hyperlink" Target="https://advance.lexis.com/api/document?collection=cases-ca&amp;id=urn:contentItem:5F8P-SG61-DXHD-G4YH-00000-00&amp;context=" TargetMode="External" /><Relationship Id="rId860" Type="http://schemas.openxmlformats.org/officeDocument/2006/relationships/hyperlink" Target="https://advance.lexis.com/api/document?collection=cases-ca&amp;id=urn:contentItem:5F8P-SF71-JWR6-S4BP-00000-00&amp;context=" TargetMode="External" /><Relationship Id="rId861" Type="http://schemas.openxmlformats.org/officeDocument/2006/relationships/hyperlink" Target="https://advance.lexis.com/api/document?collection=cases-ca&amp;id=urn:contentItem:5F7T-S761-F7ND-G4HW-00000-00&amp;context=" TargetMode="External" /><Relationship Id="rId862" Type="http://schemas.openxmlformats.org/officeDocument/2006/relationships/hyperlink" Target="https://advance.lexis.com/api/document?collection=cases-ca&amp;id=urn:contentItem:5F8T-N3V1-FC1F-M4BS-00000-00&amp;context=" TargetMode="External" /><Relationship Id="rId863" Type="http://schemas.openxmlformats.org/officeDocument/2006/relationships/header" Target="header100.xml" /><Relationship Id="rId864" Type="http://schemas.openxmlformats.org/officeDocument/2006/relationships/header" Target="header101.xml" /><Relationship Id="rId865" Type="http://schemas.openxmlformats.org/officeDocument/2006/relationships/footer" Target="footer100.xml" /><Relationship Id="rId866" Type="http://schemas.openxmlformats.org/officeDocument/2006/relationships/footer" Target="footer101.xml" /><Relationship Id="rId867" Type="http://schemas.openxmlformats.org/officeDocument/2006/relationships/header" Target="header102.xml" /><Relationship Id="rId868" Type="http://schemas.openxmlformats.org/officeDocument/2006/relationships/footer" Target="footer102.xml" /><Relationship Id="rId869" Type="http://schemas.openxmlformats.org/officeDocument/2006/relationships/hyperlink" Target="https://advance.lexis.com/api/document?collection=cases-ca&amp;id=urn:contentItem:5F7T-S7B1-F7ND-G4WB-00000-00&amp;context=" TargetMode="External" /><Relationship Id="rId87" Type="http://schemas.openxmlformats.org/officeDocument/2006/relationships/hyperlink" Target="https://advance.lexis.com/api/document?collection=cases-ca&amp;id=urn:contentItem:5F8T-N3R1-FJDY-X3C6-00000-00&amp;context=" TargetMode="External" /><Relationship Id="rId870" Type="http://schemas.openxmlformats.org/officeDocument/2006/relationships/hyperlink" Target="https://advance.lexis.com/api/document?collection=legislation-ca&amp;id=urn:contentItem:5W2C-X5N1-FK0M-S2M9-00000-00&amp;context=" TargetMode="External" /><Relationship Id="rId871" Type="http://schemas.openxmlformats.org/officeDocument/2006/relationships/hyperlink" Target="https://advance.lexis.com/api/document?collection=cases-ca&amp;id=urn:contentItem:5F7T-S761-F81W-2256-00000-00&amp;context=" TargetMode="External" /><Relationship Id="rId872" Type="http://schemas.openxmlformats.org/officeDocument/2006/relationships/hyperlink" Target="https://advance.lexis.com/api/document?collection=cases-ca&amp;id=urn:contentItem:5F7T-S771-JJD0-G15J-00000-00&amp;context=" TargetMode="External" /><Relationship Id="rId873" Type="http://schemas.openxmlformats.org/officeDocument/2006/relationships/hyperlink" Target="https://advance.lexis.com/api/document?collection=cases-ca&amp;id=urn:contentItem:5F81-VJX1-FFTT-X1XP-00000-00&amp;context=" TargetMode="External" /><Relationship Id="rId874" Type="http://schemas.openxmlformats.org/officeDocument/2006/relationships/hyperlink" Target="https://advance.lexis.com/api/document?collection=cases-ca&amp;id=urn:contentItem:5F81-VJX1-JJYN-B51S-00000-00&amp;context=" TargetMode="External" /><Relationship Id="rId875" Type="http://schemas.openxmlformats.org/officeDocument/2006/relationships/hyperlink" Target="https://advance.lexis.com/api/document?collection=cases-ca&amp;id=urn:contentItem:5F8T-N3V1-FC1F-M486-00000-00&amp;context=" TargetMode="External" /><Relationship Id="rId876" Type="http://schemas.openxmlformats.org/officeDocument/2006/relationships/hyperlink" Target="https://advance.lexis.com/api/document?collection=cases-ca&amp;id=urn:contentItem:5F7T-S771-JTGH-B1KF-00000-00&amp;context=" TargetMode="External" /><Relationship Id="rId877" Type="http://schemas.openxmlformats.org/officeDocument/2006/relationships/hyperlink" Target="https://advance.lexis.com/api/document?collection=cases-ca&amp;id=urn:contentItem:5F7T-S751-FJDY-X419-00000-00&amp;context=" TargetMode="External" /><Relationship Id="rId878" Type="http://schemas.openxmlformats.org/officeDocument/2006/relationships/hyperlink" Target="https://advance.lexis.com/api/document?collection=cases-ca&amp;id=urn:contentItem:5F7T-S751-JG02-S29T-00000-00&amp;context=" TargetMode="External" /><Relationship Id="rId879" Type="http://schemas.openxmlformats.org/officeDocument/2006/relationships/hyperlink" Target="https://advance.lexis.com/api/document?collection=cases-ca&amp;id=urn:contentItem:5F7T-S771-JSJC-X059-00000-00&amp;context=" TargetMode="External" /><Relationship Id="rId88" Type="http://schemas.openxmlformats.org/officeDocument/2006/relationships/hyperlink" Target="https://iclr.co.uk/pubrefLookup/redirectTo?ref=1964+P.+181" TargetMode="External" /><Relationship Id="rId880" Type="http://schemas.openxmlformats.org/officeDocument/2006/relationships/header" Target="header103.xml" /><Relationship Id="rId881" Type="http://schemas.openxmlformats.org/officeDocument/2006/relationships/header" Target="header104.xml" /><Relationship Id="rId882" Type="http://schemas.openxmlformats.org/officeDocument/2006/relationships/footer" Target="footer103.xml" /><Relationship Id="rId883" Type="http://schemas.openxmlformats.org/officeDocument/2006/relationships/footer" Target="footer104.xml" /><Relationship Id="rId884" Type="http://schemas.openxmlformats.org/officeDocument/2006/relationships/header" Target="header105.xml" /><Relationship Id="rId885" Type="http://schemas.openxmlformats.org/officeDocument/2006/relationships/footer" Target="footer105.xml" /><Relationship Id="rId886" Type="http://schemas.openxmlformats.org/officeDocument/2006/relationships/hyperlink" Target="https://advance.lexis.com/api/document?collection=cases-ca&amp;id=urn:contentItem:5F7T-S7G1-JWR6-S1RW-00000-00&amp;context=" TargetMode="External" /><Relationship Id="rId887" Type="http://schemas.openxmlformats.org/officeDocument/2006/relationships/hyperlink" Target="https://advance.lexis.com/api/document?collection=cases-ca&amp;id=urn:contentItem:5F7T-S7D1-JS5Y-B21X-00000-00&amp;context=" TargetMode="External" /><Relationship Id="rId888" Type="http://schemas.openxmlformats.org/officeDocument/2006/relationships/hyperlink" Target="https://advance.lexis.com/api/document?collection=cases-ca&amp;id=urn:contentItem:5F7T-S7G1-JNY7-X3R6-00000-00&amp;context=" TargetMode="External" /><Relationship Id="rId889" Type="http://schemas.openxmlformats.org/officeDocument/2006/relationships/hyperlink" Target="https://advance.lexis.com/api/document?collection=cases-ca&amp;id=urn:contentItem:5F7T-S7G1-JPP5-220P-00000-00&amp;context=" TargetMode="External" /><Relationship Id="rId89" Type="http://schemas.openxmlformats.org/officeDocument/2006/relationships/image" Target="media/image1.png" /><Relationship Id="rId890" Type="http://schemas.openxmlformats.org/officeDocument/2006/relationships/hyperlink" Target="https://advance.lexis.com/api/document?collection=cases-ca&amp;id=urn:contentItem:5F7T-S761-JS5Y-B1DW-00000-00&amp;context=" TargetMode="External" /><Relationship Id="rId891" Type="http://schemas.openxmlformats.org/officeDocument/2006/relationships/header" Target="header106.xml" /><Relationship Id="rId892" Type="http://schemas.openxmlformats.org/officeDocument/2006/relationships/header" Target="header107.xml" /><Relationship Id="rId893" Type="http://schemas.openxmlformats.org/officeDocument/2006/relationships/footer" Target="footer106.xml" /><Relationship Id="rId894" Type="http://schemas.openxmlformats.org/officeDocument/2006/relationships/footer" Target="footer107.xml" /><Relationship Id="rId895" Type="http://schemas.openxmlformats.org/officeDocument/2006/relationships/header" Target="header108.xml" /><Relationship Id="rId896" Type="http://schemas.openxmlformats.org/officeDocument/2006/relationships/footer" Target="footer108.xml" /><Relationship Id="rId897" Type="http://schemas.openxmlformats.org/officeDocument/2006/relationships/hyperlink" Target="https://advance.lexis.com/api/document?collection=cases-ca&amp;id=urn:contentItem:5S2J-PSY1-FG68-G2G4-00000-00&amp;context=" TargetMode="External" /><Relationship Id="rId898" Type="http://schemas.openxmlformats.org/officeDocument/2006/relationships/hyperlink" Target="https://advance.lexis.com/api/document?collection=cases-ca&amp;id=urn:contentItem:5F7T-S7C1-FCSB-S2BP-00000-00&amp;context=" TargetMode="External" /><Relationship Id="rId899" Type="http://schemas.openxmlformats.org/officeDocument/2006/relationships/hyperlink" Target="https://advance.lexis.com/api/document?collection=cases-ca&amp;id=urn:contentItem:5F7T-S6V1-JFKM-6132-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F-5RH1-FJM6-606D-00000-00&amp;context=" TargetMode="External" /><Relationship Id="rId900" Type="http://schemas.openxmlformats.org/officeDocument/2006/relationships/hyperlink" Target="https://advance.lexis.com/api/document?collection=cases-ca&amp;id=urn:contentItem:5F7T-S6Y1-F65M-6050-00000-00&amp;context=" TargetMode="External" /><Relationship Id="rId901" Type="http://schemas.openxmlformats.org/officeDocument/2006/relationships/hyperlink" Target="https://advance.lexis.com/api/document?collection=cases-ca&amp;id=urn:contentItem:5F7T-S771-JSJC-X04S-00000-00&amp;context=" TargetMode="External" /><Relationship Id="rId902" Type="http://schemas.openxmlformats.org/officeDocument/2006/relationships/hyperlink" Target="https://advance.lexis.com/api/document?collection=cases-ca&amp;id=urn:contentItem:5F7T-S731-DY33-B0N8-00000-00&amp;context=" TargetMode="External" /><Relationship Id="rId903" Type="http://schemas.openxmlformats.org/officeDocument/2006/relationships/hyperlink" Target="https://advance.lexis.com/api/document?collection=cases-ca&amp;id=urn:contentItem:5F7T-S761-FFMK-M137-00000-00&amp;context=" TargetMode="External" /><Relationship Id="rId904" Type="http://schemas.openxmlformats.org/officeDocument/2006/relationships/hyperlink" Target="https://advance.lexis.com/api/document?collection=cases-ca&amp;id=urn:contentItem:5F7T-S7G1-FCYK-209J-00000-00&amp;context=" TargetMode="External" /><Relationship Id="rId905" Type="http://schemas.openxmlformats.org/officeDocument/2006/relationships/header" Target="header109.xml" /><Relationship Id="rId906" Type="http://schemas.openxmlformats.org/officeDocument/2006/relationships/header" Target="header110.xml" /><Relationship Id="rId907" Type="http://schemas.openxmlformats.org/officeDocument/2006/relationships/footer" Target="footer109.xml" /><Relationship Id="rId908" Type="http://schemas.openxmlformats.org/officeDocument/2006/relationships/footer" Target="footer110.xml" /><Relationship Id="rId909" Type="http://schemas.openxmlformats.org/officeDocument/2006/relationships/header" Target="header111.xml" /><Relationship Id="rId91" Type="http://schemas.openxmlformats.org/officeDocument/2006/relationships/hyperlink" Target="https://advance.lexis.com/api/document?collection=cases-ca&amp;id=urn:contentItem:5F7F-5RH1-JTGH-B01R-00000-00&amp;context=" TargetMode="External" /><Relationship Id="rId910" Type="http://schemas.openxmlformats.org/officeDocument/2006/relationships/footer" Target="footer111.xml" /><Relationship Id="rId911" Type="http://schemas.openxmlformats.org/officeDocument/2006/relationships/hyperlink" Target="https://advance.lexis.com/api/document?collection=cases-ca&amp;id=urn:contentItem:5F7T-S7N1-DXWW-20H0-00000-00&amp;context=" TargetMode="External" /><Relationship Id="rId912" Type="http://schemas.openxmlformats.org/officeDocument/2006/relationships/hyperlink" Target="https://advance.lexis.com/api/document?collection=cases-ca&amp;id=urn:contentItem:5F7T-S771-JWBS-61RX-00000-00&amp;context=" TargetMode="External" /><Relationship Id="rId913" Type="http://schemas.openxmlformats.org/officeDocument/2006/relationships/hyperlink" Target="https://advance.lexis.com/api/document?collection=cases-ca&amp;id=urn:contentItem:5F7T-S741-F1H1-21JV-00000-00&amp;context=" TargetMode="External" /><Relationship Id="rId914" Type="http://schemas.openxmlformats.org/officeDocument/2006/relationships/hyperlink" Target="https://advance.lexis.com/api/document?collection=cases-ca&amp;id=urn:contentItem:5F7T-S711-F4W2-61NS-00000-00&amp;context=" TargetMode="External" /><Relationship Id="rId915" Type="http://schemas.openxmlformats.org/officeDocument/2006/relationships/header" Target="header112.xml" /><Relationship Id="rId916" Type="http://schemas.openxmlformats.org/officeDocument/2006/relationships/header" Target="header113.xml" /><Relationship Id="rId917" Type="http://schemas.openxmlformats.org/officeDocument/2006/relationships/footer" Target="footer112.xml" /><Relationship Id="rId918" Type="http://schemas.openxmlformats.org/officeDocument/2006/relationships/footer" Target="footer113.xml" /><Relationship Id="rId919" Type="http://schemas.openxmlformats.org/officeDocument/2006/relationships/header" Target="header114.xml" /><Relationship Id="rId92" Type="http://schemas.openxmlformats.org/officeDocument/2006/relationships/hyperlink" Target="https://advance.lexis.com/api/document?collection=cases-ca&amp;id=urn:contentItem:5F7T-V3Y1-FGY5-M16J-00000-00&amp;context=" TargetMode="External" /><Relationship Id="rId920" Type="http://schemas.openxmlformats.org/officeDocument/2006/relationships/footer" Target="footer114.xml" /><Relationship Id="rId921" Type="http://schemas.openxmlformats.org/officeDocument/2006/relationships/hyperlink" Target="https://advance.lexis.com/api/document?collection=cases-ca&amp;id=urn:contentItem:5J17-BK31-F5T5-M24B-00000-00&amp;context=" TargetMode="External" /><Relationship Id="rId922" Type="http://schemas.openxmlformats.org/officeDocument/2006/relationships/hyperlink" Target="https://advance.lexis.com/api/document?collection=legislation-ca&amp;id=urn:contentItem:5F41-1FJ1-F5KY-B22P-00000-00&amp;context=" TargetMode="External" /><Relationship Id="rId923" Type="http://schemas.openxmlformats.org/officeDocument/2006/relationships/hyperlink" Target="https://advance.lexis.com/api/document?collection=legislation-ca&amp;id=urn:contentItem:5TBM-3RM1-F7VM-S13S-00000-00&amp;context=" TargetMode="External" /><Relationship Id="rId924" Type="http://schemas.openxmlformats.org/officeDocument/2006/relationships/hyperlink" Target="https://advance.lexis.com/api/document?collection=cases-ca&amp;id=urn:contentItem:5F8T-N3V1-JTGH-B19D-00000-00&amp;context=" TargetMode="External" /><Relationship Id="rId925" Type="http://schemas.openxmlformats.org/officeDocument/2006/relationships/hyperlink" Target="https://advance.lexis.com/api/document?collection=cases-ca&amp;id=urn:contentItem:5F8T-N3V1-JTGH-B19F-00000-00&amp;context=" TargetMode="External" /><Relationship Id="rId926" Type="http://schemas.openxmlformats.org/officeDocument/2006/relationships/hyperlink" Target="https://advance.lexis.com/api/document?collection=cases-ca&amp;id=urn:contentItem:5F8T-N3V1-FH4C-X1WM-00000-00&amp;context=" TargetMode="External" /><Relationship Id="rId927" Type="http://schemas.openxmlformats.org/officeDocument/2006/relationships/hyperlink" Target="https://advance.lexis.com/api/document?collection=cases-ca&amp;id=urn:contentItem:5F7T-S781-JSC5-M41T-00000-00&amp;context=" TargetMode="External" /><Relationship Id="rId928" Type="http://schemas.openxmlformats.org/officeDocument/2006/relationships/hyperlink" Target="https://advance.lexis.com/api/document?collection=cases-ca&amp;id=urn:contentItem:5F7T-S7P1-JSJC-X1CY-00000-00&amp;context=" TargetMode="External" /><Relationship Id="rId929" Type="http://schemas.openxmlformats.org/officeDocument/2006/relationships/hyperlink" Target="https://advance.lexis.com/api/document?collection=cases-ca&amp;id=urn:contentItem:5F82-1SK1-JJ6S-64HW-00000-00&amp;context=" TargetMode="External" /><Relationship Id="rId93" Type="http://schemas.openxmlformats.org/officeDocument/2006/relationships/hyperlink" Target="https://advance.lexis.com/api/document?collection=cases-ca&amp;id=urn:contentItem:5F8P-SF11-JF1Y-B32M-00000-00&amp;context=" TargetMode="External" /><Relationship Id="rId930" Type="http://schemas.openxmlformats.org/officeDocument/2006/relationships/hyperlink" Target="https://advance.lexis.com/api/document?collection=cases-ca&amp;id=urn:contentItem:5G7S-1GH1-JBDT-B3F9-00000-00&amp;context=" TargetMode="External" /><Relationship Id="rId931" Type="http://schemas.openxmlformats.org/officeDocument/2006/relationships/hyperlink" Target="https://advance.lexis.com/api/document?collection=cases-ca&amp;id=urn:contentItem:5H1X-STF1-FK0M-S401-00000-00&amp;context=" TargetMode="External" /><Relationship Id="rId932" Type="http://schemas.openxmlformats.org/officeDocument/2006/relationships/hyperlink" Target="https://advance.lexis.com/api/document?collection=cases-ca&amp;id=urn:contentItem:5GC0-VTK1-FG68-G26N-00000-00&amp;context=" TargetMode="External" /><Relationship Id="rId933" Type="http://schemas.openxmlformats.org/officeDocument/2006/relationships/hyperlink" Target="https://advance.lexis.com/api/document?collection=cases-ca&amp;id=urn:contentItem:5GTH-W621-FCYK-2004-00000-00&amp;context=" TargetMode="External" /><Relationship Id="rId934" Type="http://schemas.openxmlformats.org/officeDocument/2006/relationships/hyperlink" Target="https://advance.lexis.com/api/document?collection=cases-ca&amp;id=urn:contentItem:5F8T-N3V1-FC1F-M497-00000-00&amp;context=" TargetMode="External" /><Relationship Id="rId935" Type="http://schemas.openxmlformats.org/officeDocument/2006/relationships/hyperlink" Target="https://advance.lexis.com/api/document?collection=cases-ca&amp;id=urn:contentItem:5F8T-N3V1-FH4C-X247-00000-00&amp;context=" TargetMode="External" /><Relationship Id="rId936" Type="http://schemas.openxmlformats.org/officeDocument/2006/relationships/hyperlink" Target="https://advance.lexis.com/api/document?collection=cases-ca&amp;id=urn:contentItem:5F7T-S7J1-JGBH-B2B7-00000-00&amp;context=" TargetMode="External" /><Relationship Id="rId937" Type="http://schemas.openxmlformats.org/officeDocument/2006/relationships/hyperlink" Target="https://advance.lexis.com/api/document?collection=cases-ca&amp;id=urn:contentItem:5F82-1SJ1-JWXF-21CK-00000-00&amp;context=" TargetMode="External" /><Relationship Id="rId938" Type="http://schemas.openxmlformats.org/officeDocument/2006/relationships/hyperlink" Target="https://advance.lexis.com/api/document?collection=cases-ca&amp;id=urn:contentItem:5F82-1SJ1-JWXF-21CM-00000-00&amp;context=" TargetMode="External" /><Relationship Id="rId939" Type="http://schemas.openxmlformats.org/officeDocument/2006/relationships/hyperlink" Target="https://advance.lexis.com/api/document?collection=cases-ca&amp;id=urn:contentItem:5F8P-SF61-JPP5-21XG-00000-00&amp;context=" TargetMode="External" /><Relationship Id="rId94" Type="http://schemas.openxmlformats.org/officeDocument/2006/relationships/hyperlink" Target="https://advance.lexis.com/api/document?collection=cases-ca&amp;id=urn:contentItem:5F82-1SH1-F22N-X2BN-00000-00&amp;context=" TargetMode="External" /><Relationship Id="rId940" Type="http://schemas.openxmlformats.org/officeDocument/2006/relationships/hyperlink" Target="https://advance.lexis.com/api/document?collection=cases-ca&amp;id=urn:contentItem:5F8P-SF71-FGCG-S3K8-00000-00&amp;context=" TargetMode="External" /><Relationship Id="rId941" Type="http://schemas.openxmlformats.org/officeDocument/2006/relationships/hyperlink" Target="https://advance.lexis.com/api/document?collection=cases-ca&amp;id=urn:contentItem:5F8P-SF81-JF75-M1MX-00000-00&amp;context=" TargetMode="External" /><Relationship Id="rId942" Type="http://schemas.openxmlformats.org/officeDocument/2006/relationships/hyperlink" Target="https://advance.lexis.com/api/document?collection=cases-ca&amp;id=urn:contentItem:5F81-VJY1-FBN1-22V4-00000-00&amp;context=" TargetMode="External" /><Relationship Id="rId943" Type="http://schemas.openxmlformats.org/officeDocument/2006/relationships/hyperlink" Target="https://advance.lexis.com/api/document?collection=cases-ca&amp;id=urn:contentItem:5F82-1SJ1-JWXF-21GP-00000-00&amp;context=" TargetMode="External" /><Relationship Id="rId944" Type="http://schemas.openxmlformats.org/officeDocument/2006/relationships/hyperlink" Target="https://advance.lexis.com/api/document?collection=cases-ca&amp;id=urn:contentItem:5F82-1SJ1-JWXF-21GN-00000-00&amp;context=" TargetMode="External" /><Relationship Id="rId945" Type="http://schemas.openxmlformats.org/officeDocument/2006/relationships/hyperlink" Target="https://advance.lexis.com/api/document?collection=cases-ca&amp;id=urn:contentItem:5F8T-N3V1-JF75-M3D0-00000-00&amp;context=" TargetMode="External" /><Relationship Id="rId946" Type="http://schemas.openxmlformats.org/officeDocument/2006/relationships/hyperlink" Target="https://advance.lexis.com/api/document?collection=cases-ca&amp;id=urn:contentItem:5F7T-S7D1-JS5Y-B2D4-00000-00&amp;context=" TargetMode="External" /><Relationship Id="rId947" Type="http://schemas.openxmlformats.org/officeDocument/2006/relationships/hyperlink" Target="https://advance.lexis.com/api/document?collection=cases-ca&amp;id=urn:contentItem:5F8P-SDY1-JKHB-62N6-00000-00&amp;context=" TargetMode="External" /><Relationship Id="rId948" Type="http://schemas.openxmlformats.org/officeDocument/2006/relationships/hyperlink" Target="https://advance.lexis.com/api/document?collection=cases-ca&amp;id=urn:contentItem:5F7T-S7N1-F06F-24SF-00000-00&amp;context=" TargetMode="External" /><Relationship Id="rId949" Type="http://schemas.openxmlformats.org/officeDocument/2006/relationships/hyperlink" Target="https://advance.lexis.com/api/document?collection=cases-ca&amp;id=urn:contentItem:5F82-1SJ1-FGY5-M51C-00000-00&amp;context=" TargetMode="External" /><Relationship Id="rId95" Type="http://schemas.openxmlformats.org/officeDocument/2006/relationships/hyperlink" Target="https://advance.lexis.com/api/document?collection=cases-ca&amp;id=urn:contentItem:5F7T-S7K1-DY33-B1MF-00000-00&amp;context=" TargetMode="External" /><Relationship Id="rId950" Type="http://schemas.openxmlformats.org/officeDocument/2006/relationships/hyperlink" Target="https://advance.lexis.com/api/document?collection=cases-ca&amp;id=urn:contentItem:5F82-1SJ1-FGY5-M51D-00000-00&amp;context=" TargetMode="External" /><Relationship Id="rId951" Type="http://schemas.openxmlformats.org/officeDocument/2006/relationships/hyperlink" Target="https://advance.lexis.com/api/document?collection=cases-ca&amp;id=urn:contentItem:5F7T-S781-F7G6-63N4-00000-00&amp;context=" TargetMode="External" /><Relationship Id="rId952" Type="http://schemas.openxmlformats.org/officeDocument/2006/relationships/hyperlink" Target="https://advance.lexis.com/api/document?collection=cases-ca&amp;id=urn:contentItem:5F7T-S7P1-JNJT-B2VP-00000-00&amp;context=" TargetMode="External" /><Relationship Id="rId953" Type="http://schemas.openxmlformats.org/officeDocument/2006/relationships/hyperlink" Target="https://advance.lexis.com/api/document?collection=cases-ca&amp;id=urn:contentItem:5F7T-S7M1-F4W2-6297-00000-00&amp;context=" TargetMode="External" /><Relationship Id="rId954" Type="http://schemas.openxmlformats.org/officeDocument/2006/relationships/hyperlink" Target="https://advance.lexis.com/api/document?collection=cases-ca&amp;id=urn:contentItem:5F82-1SJ1-FGY5-M4K1-00000-00&amp;context=" TargetMode="External" /><Relationship Id="rId955" Type="http://schemas.openxmlformats.org/officeDocument/2006/relationships/hyperlink" Target="https://advance.lexis.com/api/document?collection=cases-ca&amp;id=urn:contentItem:5F82-1SJ1-FGY5-M4K2-00000-00&amp;context=" TargetMode="External" /><Relationship Id="rId956" Type="http://schemas.openxmlformats.org/officeDocument/2006/relationships/hyperlink" Target="https://advance.lexis.com/api/document?collection=cases-ca&amp;id=urn:contentItem:5F7T-S7N1-JGHR-M32G-00000-00&amp;context=" TargetMode="External" /><Relationship Id="rId957" Type="http://schemas.openxmlformats.org/officeDocument/2006/relationships/hyperlink" Target="https://advance.lexis.com/api/document?collection=cases-ca&amp;id=urn:contentItem:5F7T-S7D1-JN6B-S159-00000-00&amp;context=" TargetMode="External" /><Relationship Id="rId958" Type="http://schemas.openxmlformats.org/officeDocument/2006/relationships/hyperlink" Target="https://advance.lexis.com/api/document?collection=cases-ca&amp;id=urn:contentItem:5F7T-S7F1-FFFC-B25N-00000-00&amp;context=" TargetMode="External" /><Relationship Id="rId959" Type="http://schemas.openxmlformats.org/officeDocument/2006/relationships/hyperlink" Target="https://advance.lexis.com/api/document?collection=cases-ca&amp;id=urn:contentItem:5F7T-S7N1-F06F-24CF-00000-00&amp;context=" TargetMode="External" /><Relationship Id="rId96" Type="http://schemas.openxmlformats.org/officeDocument/2006/relationships/hyperlink" Target="https://advance.lexis.com/api/document?collection=cases-ca&amp;id=urn:contentItem:5F7T-S6X1-F06F-22C1-00000-00&amp;context=" TargetMode="External" /><Relationship Id="rId960" Type="http://schemas.openxmlformats.org/officeDocument/2006/relationships/hyperlink" Target="https://advance.lexis.com/api/document?collection=cases-ca&amp;id=urn:contentItem:5GCC-XVB1-JGHR-M49K-00000-00&amp;context=" TargetMode="External" /><Relationship Id="rId961" Type="http://schemas.openxmlformats.org/officeDocument/2006/relationships/hyperlink" Target="https://advance.lexis.com/api/document?collection=cases-ca&amp;id=urn:contentItem:5F7T-S7P1-JG02-S3YS-00000-00&amp;context=" TargetMode="External" /><Relationship Id="rId962" Type="http://schemas.openxmlformats.org/officeDocument/2006/relationships/hyperlink" Target="https://advance.lexis.com/api/document?collection=cases-ca&amp;id=urn:contentItem:5G68-9741-FCYK-21KH-00000-00&amp;context=" TargetMode="External" /><Relationship Id="rId963" Type="http://schemas.openxmlformats.org/officeDocument/2006/relationships/hyperlink" Target="https://advance.lexis.com/api/document?collection=cases-ca&amp;id=urn:contentItem:5F7T-S7P1-F2TK-23NW-00000-00&amp;context=" TargetMode="External" /><Relationship Id="rId964" Type="http://schemas.openxmlformats.org/officeDocument/2006/relationships/hyperlink" Target="https://advance.lexis.com/api/document?collection=cases-ca&amp;id=urn:contentItem:5F7T-S7M1-DYMS-623M-00000-00&amp;context=" TargetMode="External" /><Relationship Id="rId965" Type="http://schemas.openxmlformats.org/officeDocument/2006/relationships/hyperlink" Target="https://advance.lexis.com/api/document?collection=cases-ca&amp;id=urn:contentItem:5GC3-0RW1-F60C-X2WD-00000-00&amp;context=" TargetMode="External" /><Relationship Id="rId966" Type="http://schemas.openxmlformats.org/officeDocument/2006/relationships/hyperlink" Target="https://advance.lexis.com/api/document?collection=cases-ca&amp;id=urn:contentItem:5F7T-S7K1-JNY7-X4R6-00000-00&amp;context=" TargetMode="External" /><Relationship Id="rId967" Type="http://schemas.openxmlformats.org/officeDocument/2006/relationships/hyperlink" Target="https://advance.lexis.com/api/document?collection=cases-ca&amp;id=urn:contentItem:5F8T-N3V1-FC1F-M46D-00000-00&amp;context=" TargetMode="External" /><Relationship Id="rId968" Type="http://schemas.openxmlformats.org/officeDocument/2006/relationships/hyperlink" Target="https://advance.lexis.com/api/document?collection=cases-ca&amp;id=urn:contentItem:5F7T-S751-JP4G-614D-00000-00&amp;context=" TargetMode="External" /><Relationship Id="rId969" Type="http://schemas.openxmlformats.org/officeDocument/2006/relationships/hyperlink" Target="https://advance.lexis.com/api/document?collection=cases-ca&amp;id=urn:contentItem:5F82-1SD1-JFKM-609Y-00000-00&amp;context=" TargetMode="External" /><Relationship Id="rId97" Type="http://schemas.openxmlformats.org/officeDocument/2006/relationships/hyperlink" Target="https://advance.lexis.com/api/document?collection=cases-ca&amp;id=urn:contentItem:5F8T-N3V1-JTGH-B0YR-00000-00&amp;context=" TargetMode="External" /><Relationship Id="rId970" Type="http://schemas.openxmlformats.org/officeDocument/2006/relationships/hyperlink" Target="https://advance.lexis.com/api/document?collection=cases-ca&amp;id=urn:contentItem:5F7T-S7F1-JFKM-61JV-00000-00&amp;context=" TargetMode="External" /><Relationship Id="rId971" Type="http://schemas.openxmlformats.org/officeDocument/2006/relationships/hyperlink" Target="https://advance.lexis.com/api/document?collection=cases-ca&amp;id=urn:contentItem:5G5K-89P1-K054-G32T-00000-00&amp;context=" TargetMode="External" /><Relationship Id="rId972" Type="http://schemas.openxmlformats.org/officeDocument/2006/relationships/hyperlink" Target="https://advance.lexis.com/api/document?collection=cases-ca&amp;id=urn:contentItem:5F7T-S7P1-JBDT-B13M-00000-00&amp;context=" TargetMode="External" /><Relationship Id="rId973" Type="http://schemas.openxmlformats.org/officeDocument/2006/relationships/hyperlink" Target="https://advance.lexis.com/api/document?collection=cases-ca&amp;id=urn:contentItem:5F7T-S7P1-JG02-S3W9-00000-00&amp;context=" TargetMode="External" /><Relationship Id="rId974" Type="http://schemas.openxmlformats.org/officeDocument/2006/relationships/hyperlink" Target="https://advance.lexis.com/api/document?collection=cases-ca&amp;id=urn:contentItem:5F8T-N3V1-FH4C-X24V-00000-00&amp;context=" TargetMode="External" /><Relationship Id="rId975" Type="http://schemas.openxmlformats.org/officeDocument/2006/relationships/hyperlink" Target="https://advance.lexis.com/api/document?collection=cases-ca&amp;id=urn:contentItem:5F7T-S7K1-F1H1-22C7-00000-00&amp;context=" TargetMode="External" /><Relationship Id="rId976" Type="http://schemas.openxmlformats.org/officeDocument/2006/relationships/hyperlink" Target="https://advance.lexis.com/api/document?collection=cases-ca&amp;id=urn:contentItem:5F82-1SJ1-DYMS-63DJ-00000-00&amp;context=" TargetMode="External" /><Relationship Id="rId977" Type="http://schemas.openxmlformats.org/officeDocument/2006/relationships/hyperlink" Target="https://advance.lexis.com/api/document?collection=cases-ca&amp;id=urn:contentItem:5F82-1SJ1-DYMS-63DK-00000-00&amp;context=" TargetMode="External" /><Relationship Id="rId978" Type="http://schemas.openxmlformats.org/officeDocument/2006/relationships/hyperlink" Target="https://advance.lexis.com/api/document?collection=cases-ca&amp;id=urn:contentItem:5F7T-S7N1-JGHR-M2XD-00000-00&amp;context=" TargetMode="External" /><Relationship Id="rId979" Type="http://schemas.openxmlformats.org/officeDocument/2006/relationships/hyperlink" Target="https://advance.lexis.com/api/document?collection=cases-ca&amp;id=urn:contentItem:5F7T-S7F1-JK4W-M1D5-00000-00&amp;context=" TargetMode="External" /><Relationship Id="rId98" Type="http://schemas.openxmlformats.org/officeDocument/2006/relationships/hyperlink" Target="https://advance.lexis.com/api/document?collection=cases-ca&amp;id=urn:contentItem:5F7T-S7G1-JNY7-X3RV-00000-00&amp;context=" TargetMode="External" /><Relationship Id="rId980" Type="http://schemas.openxmlformats.org/officeDocument/2006/relationships/hyperlink" Target="https://advance.lexis.com/api/document?collection=cases-ca&amp;id=urn:contentItem:5F81-VJY1-JPGX-S4XK-00000-00&amp;context=" TargetMode="External" /><Relationship Id="rId981" Type="http://schemas.openxmlformats.org/officeDocument/2006/relationships/hyperlink" Target="https://advance.lexis.com/api/document?collection=cases-ca&amp;id=urn:contentItem:5F82-1SJ1-FGY5-M4V8-00000-00&amp;context=" TargetMode="External" /><Relationship Id="rId982" Type="http://schemas.openxmlformats.org/officeDocument/2006/relationships/hyperlink" Target="https://advance.lexis.com/api/document?collection=cases-ca&amp;id=urn:contentItem:5F81-VJX1-FCK4-G1WJ-00000-00&amp;context=" TargetMode="External" /><Relationship Id="rId983" Type="http://schemas.openxmlformats.org/officeDocument/2006/relationships/hyperlink" Target="https://advance.lexis.com/api/document?collection=cases-ca&amp;id=urn:contentItem:5F82-1SH1-F57G-S301-00000-00&amp;context=" TargetMode="External" /><Relationship Id="rId984" Type="http://schemas.openxmlformats.org/officeDocument/2006/relationships/hyperlink" Target="https://advance.lexis.com/api/document?collection=cases-ca&amp;id=urn:contentItem:5GSP-CPF1-JB7K-2008-00000-00&amp;context=" TargetMode="External" /><Relationship Id="rId985" Type="http://schemas.openxmlformats.org/officeDocument/2006/relationships/hyperlink" Target="https://advance.lexis.com/api/document?collection=cases-ca&amp;id=urn:contentItem:5F8P-SG11-JJD0-G392-00000-00&amp;context=" TargetMode="External" /><Relationship Id="rId986" Type="http://schemas.openxmlformats.org/officeDocument/2006/relationships/hyperlink" Target="https://advance.lexis.com/api/document?collection=cases-ca&amp;id=urn:contentItem:5HRB-BND1-JXG3-X25P-00000-00&amp;context=" TargetMode="External" /><Relationship Id="rId987" Type="http://schemas.openxmlformats.org/officeDocument/2006/relationships/hyperlink" Target="https://advance.lexis.com/api/document?collection=cases-ca&amp;id=urn:contentItem:5GNP-DGD1-JJYN-B1W2-00000-00&amp;context=" TargetMode="External" /><Relationship Id="rId988" Type="http://schemas.openxmlformats.org/officeDocument/2006/relationships/hyperlink" Target="https://advance.lexis.com/api/document?collection=cases-ca&amp;id=urn:contentItem:5F81-VJY1-JWBS-64DJ-00000-00&amp;context=" TargetMode="External" /><Relationship Id="rId989" Type="http://schemas.openxmlformats.org/officeDocument/2006/relationships/hyperlink" Target="https://advance.lexis.com/api/document?collection=cases-ca&amp;id=urn:contentItem:5F82-1SH1-JYYX-60Y5-00000-00&amp;context=" TargetMode="External" /><Relationship Id="rId99" Type="http://schemas.openxmlformats.org/officeDocument/2006/relationships/hyperlink" Target="https://advance.lexis.com/api/document?collection=cases-ca&amp;id=urn:contentItem:5F8T-N3R1-JJSF-22PH-00000-00&amp;context=" TargetMode="External" /><Relationship Id="rId990" Type="http://schemas.openxmlformats.org/officeDocument/2006/relationships/hyperlink" Target="https://advance.lexis.com/api/document?collection=cases-ca&amp;id=urn:contentItem:5F7T-S7N1-JGHR-M3FJ-00000-00&amp;context=" TargetMode="External" /><Relationship Id="rId991" Type="http://schemas.openxmlformats.org/officeDocument/2006/relationships/hyperlink" Target="https://advance.lexis.com/api/document?collection=cases-ca&amp;id=urn:contentItem:5F7T-S731-JNJT-B26G-00000-00&amp;context=" TargetMode="External" /><Relationship Id="rId992" Type="http://schemas.openxmlformats.org/officeDocument/2006/relationships/hyperlink" Target="https://advance.lexis.com/api/document?collection=cases-ca&amp;id=urn:contentItem:5F7T-S761-JS5Y-B1KW-00000-00&amp;context=" TargetMode="External" /><Relationship Id="rId993" Type="http://schemas.openxmlformats.org/officeDocument/2006/relationships/hyperlink" Target="https://advance.lexis.com/api/document?collection=cases-ca&amp;id=urn:contentItem:5F82-1SD1-FCK4-G356-00000-00&amp;context=" TargetMode="External" /><Relationship Id="rId994" Type="http://schemas.openxmlformats.org/officeDocument/2006/relationships/hyperlink" Target="https://advance.lexis.com/api/document?collection=cases-ca&amp;id=urn:contentItem:5F8T-N3V1-FH4C-X24N-00000-00&amp;context=" TargetMode="External" /><Relationship Id="rId995" Type="http://schemas.openxmlformats.org/officeDocument/2006/relationships/header" Target="header115.xml" /><Relationship Id="rId996" Type="http://schemas.openxmlformats.org/officeDocument/2006/relationships/header" Target="header116.xml" /><Relationship Id="rId997" Type="http://schemas.openxmlformats.org/officeDocument/2006/relationships/footer" Target="footer115.xml" /><Relationship Id="rId998" Type="http://schemas.openxmlformats.org/officeDocument/2006/relationships/footer" Target="footer116.xml" /><Relationship Id="rId999" Type="http://schemas.openxmlformats.org/officeDocument/2006/relationships/header" Target="header11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Blanco-Arriba v. British Columbia, [2001] B.C.J. No. 2376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115050913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